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CEAF" w14:textId="6E8295DB" w:rsidR="00187D55" w:rsidRPr="007522F0" w:rsidRDefault="00187D55">
      <w:pPr>
        <w:rPr>
          <w:rFonts w:ascii="Open Sans" w:hAnsi="Open Sans" w:cs="Open Sans"/>
        </w:rPr>
      </w:pPr>
    </w:p>
    <w:p w14:paraId="487BCB3C" w14:textId="4301D1BF" w:rsidR="0030381B" w:rsidRPr="007522F0" w:rsidRDefault="0030381B" w:rsidP="0030381B">
      <w:pPr>
        <w:rPr>
          <w:rFonts w:ascii="Open Sans" w:hAnsi="Open Sans" w:cs="Open Sans"/>
        </w:rPr>
      </w:pPr>
    </w:p>
    <w:p w14:paraId="1A1CC36D" w14:textId="5C81DF9F" w:rsidR="0030381B" w:rsidRPr="007522F0" w:rsidRDefault="0030381B" w:rsidP="0030381B">
      <w:pPr>
        <w:rPr>
          <w:rFonts w:ascii="Open Sans" w:hAnsi="Open Sans" w:cs="Open Sans"/>
        </w:rPr>
      </w:pPr>
    </w:p>
    <w:p w14:paraId="7D6CCB59" w14:textId="465C9C37" w:rsidR="0030381B" w:rsidRPr="007522F0" w:rsidRDefault="0030381B" w:rsidP="0030381B">
      <w:pPr>
        <w:rPr>
          <w:rFonts w:ascii="Open Sans" w:hAnsi="Open Sans" w:cs="Open Sans"/>
        </w:rPr>
      </w:pPr>
    </w:p>
    <w:p w14:paraId="1BA492D5" w14:textId="501A8147" w:rsidR="0030381B" w:rsidRPr="007522F0" w:rsidRDefault="0030381B" w:rsidP="0030381B">
      <w:pPr>
        <w:rPr>
          <w:rFonts w:ascii="Open Sans" w:hAnsi="Open Sans" w:cs="Open Sans"/>
        </w:rPr>
      </w:pPr>
    </w:p>
    <w:p w14:paraId="3DF1330C" w14:textId="55569038" w:rsidR="0030381B" w:rsidRPr="007522F0" w:rsidRDefault="0030381B" w:rsidP="0030381B">
      <w:pPr>
        <w:rPr>
          <w:rFonts w:ascii="Open Sans" w:hAnsi="Open Sans" w:cs="Open Sans"/>
        </w:rPr>
      </w:pPr>
    </w:p>
    <w:p w14:paraId="5D8035CB" w14:textId="738830E7" w:rsidR="0030381B" w:rsidRPr="007522F0" w:rsidRDefault="0030381B" w:rsidP="0030381B">
      <w:pPr>
        <w:rPr>
          <w:rFonts w:ascii="Open Sans" w:hAnsi="Open Sans" w:cs="Open Sans"/>
        </w:rPr>
      </w:pPr>
    </w:p>
    <w:p w14:paraId="0492FB42" w14:textId="22BBDD69" w:rsidR="0030381B" w:rsidRPr="007522F0" w:rsidRDefault="009E14C7" w:rsidP="0030381B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88389" wp14:editId="1EEA65C2">
                <wp:simplePos x="0" y="0"/>
                <wp:positionH relativeFrom="page">
                  <wp:posOffset>2743200</wp:posOffset>
                </wp:positionH>
                <wp:positionV relativeFrom="paragraph">
                  <wp:posOffset>7620</wp:posOffset>
                </wp:positionV>
                <wp:extent cx="4892400" cy="3319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400" cy="33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F992" w14:textId="77777777" w:rsidR="009E14C7" w:rsidRDefault="009E14C7" w:rsidP="009E14C7">
                            <w:pPr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</w:pPr>
                            <w:r w:rsidRPr="009E14C7"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  <w:t xml:space="preserve">External Auditor’s Manual </w:t>
                            </w:r>
                          </w:p>
                          <w:p w14:paraId="11BB14DC" w14:textId="77777777" w:rsidR="009E14C7" w:rsidRDefault="009E14C7" w:rsidP="009E14C7">
                            <w:pPr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</w:pPr>
                            <w:r w:rsidRPr="009E14C7"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  <w:t xml:space="preserve">for the LogiqcQMS v7 </w:t>
                            </w:r>
                          </w:p>
                          <w:p w14:paraId="343B73B4" w14:textId="5D5B46E1" w:rsidR="009E14C7" w:rsidRDefault="009E14C7" w:rsidP="009E14C7">
                            <w:pPr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</w:pPr>
                            <w:r w:rsidRPr="009E14C7"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  <w:t>Platform</w:t>
                            </w:r>
                            <w:r w:rsidRPr="009E14C7"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4B8C384" w14:textId="77777777" w:rsidR="009E14C7" w:rsidRDefault="009E14C7" w:rsidP="009E14C7">
                            <w:pPr>
                              <w:rPr>
                                <w:rFonts w:ascii="Open Sans SemiBold" w:hAnsi="Open Sans SemiBold" w:cs="Open Sans SemiBold"/>
                                <w:sz w:val="48"/>
                                <w:szCs w:val="48"/>
                              </w:rPr>
                            </w:pPr>
                          </w:p>
                          <w:p w14:paraId="4709B729" w14:textId="67D2955B" w:rsidR="009E14C7" w:rsidRPr="004A7BBA" w:rsidRDefault="009E14C7" w:rsidP="009E14C7">
                            <w:pPr>
                              <w:rPr>
                                <w:rFonts w:ascii="Open Sans SemiBold" w:hAnsi="Open Sans SemiBold" w:cs="Open Sans SemiBold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28"/>
                                <w:szCs w:val="28"/>
                              </w:rPr>
                              <w:t>LogiqcQMS</w:t>
                            </w:r>
                            <w:r w:rsidRPr="00FB3A2E"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Build Workbook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8838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.6pt;width:385.25pt;height:2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" filled="f" stroked="f" strokeweight=".5pt">
                <v:textbox>
                  <w:txbxContent>
                    <w:p w14:paraId="7208F992" w14:textId="77777777" w:rsidR="009E14C7" w:rsidRDefault="009E14C7" w:rsidP="009E14C7">
                      <w:pPr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</w:pPr>
                      <w:r w:rsidRPr="009E14C7"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  <w:t xml:space="preserve">External Auditor’s Manual </w:t>
                      </w:r>
                    </w:p>
                    <w:p w14:paraId="11BB14DC" w14:textId="77777777" w:rsidR="009E14C7" w:rsidRDefault="009E14C7" w:rsidP="009E14C7">
                      <w:pPr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</w:pPr>
                      <w:r w:rsidRPr="009E14C7"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  <w:t xml:space="preserve">for the LogiqcQMS v7 </w:t>
                      </w:r>
                    </w:p>
                    <w:p w14:paraId="343B73B4" w14:textId="5D5B46E1" w:rsidR="009E14C7" w:rsidRDefault="009E14C7" w:rsidP="009E14C7">
                      <w:pPr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</w:pPr>
                      <w:r w:rsidRPr="009E14C7"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  <w:t>Platform</w:t>
                      </w:r>
                      <w:r w:rsidRPr="009E14C7"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4B8C384" w14:textId="77777777" w:rsidR="009E14C7" w:rsidRDefault="009E14C7" w:rsidP="009E14C7">
                      <w:pPr>
                        <w:rPr>
                          <w:rFonts w:ascii="Open Sans SemiBold" w:hAnsi="Open Sans SemiBold" w:cs="Open Sans SemiBold"/>
                          <w:sz w:val="48"/>
                          <w:szCs w:val="48"/>
                        </w:rPr>
                      </w:pPr>
                    </w:p>
                    <w:p w14:paraId="4709B729" w14:textId="67D2955B" w:rsidR="009E14C7" w:rsidRPr="004A7BBA" w:rsidRDefault="009E14C7" w:rsidP="009E14C7">
                      <w:pPr>
                        <w:rPr>
                          <w:rFonts w:ascii="Open Sans SemiBold" w:hAnsi="Open Sans SemiBold" w:cs="Open Sans SemiBold"/>
                          <w:sz w:val="4"/>
                          <w:szCs w:val="4"/>
                        </w:rPr>
                      </w:pPr>
                      <w:r>
                        <w:rPr>
                          <w:rFonts w:ascii="Open Sans" w:hAnsi="Open Sans" w:cs="Open Sans"/>
                          <w:color w:val="7F7F7F" w:themeColor="text1" w:themeTint="80"/>
                          <w:sz w:val="28"/>
                          <w:szCs w:val="28"/>
                        </w:rPr>
                        <w:t>LogiqcQMS</w:t>
                      </w:r>
                      <w:r w:rsidRPr="00FB3A2E">
                        <w:rPr>
                          <w:rFonts w:ascii="Open Sans" w:hAnsi="Open Sans" w:cs="Open Sans"/>
                          <w:color w:val="7F7F7F" w:themeColor="text1" w:themeTint="80"/>
                          <w:sz w:val="28"/>
                          <w:szCs w:val="28"/>
                        </w:rPr>
                        <w:t xml:space="preserve"> Build Workbook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41ECFE" w14:textId="3D33225B" w:rsidR="0030381B" w:rsidRPr="007522F0" w:rsidRDefault="0030381B" w:rsidP="0030381B">
      <w:pPr>
        <w:rPr>
          <w:rFonts w:ascii="Open Sans" w:hAnsi="Open Sans" w:cs="Open Sans"/>
        </w:rPr>
      </w:pPr>
    </w:p>
    <w:p w14:paraId="1A872C84" w14:textId="33E0CA88" w:rsidR="0030381B" w:rsidRPr="007522F0" w:rsidRDefault="0030381B" w:rsidP="0030381B">
      <w:pPr>
        <w:rPr>
          <w:rFonts w:ascii="Open Sans" w:hAnsi="Open Sans" w:cs="Open Sans"/>
        </w:rPr>
      </w:pPr>
    </w:p>
    <w:p w14:paraId="3AF1F255" w14:textId="0B43B559" w:rsidR="0030381B" w:rsidRPr="007522F0" w:rsidRDefault="0030381B" w:rsidP="0030381B">
      <w:pPr>
        <w:rPr>
          <w:rFonts w:ascii="Open Sans" w:hAnsi="Open Sans" w:cs="Open Sans"/>
        </w:rPr>
      </w:pPr>
    </w:p>
    <w:p w14:paraId="359B018B" w14:textId="7EBD3DBA" w:rsidR="0030381B" w:rsidRPr="007522F0" w:rsidRDefault="0030381B" w:rsidP="0030381B">
      <w:pPr>
        <w:rPr>
          <w:rFonts w:ascii="Open Sans" w:hAnsi="Open Sans" w:cs="Open Sans"/>
        </w:rPr>
      </w:pPr>
    </w:p>
    <w:p w14:paraId="38D793BB" w14:textId="271A9019" w:rsidR="0030381B" w:rsidRPr="007522F0" w:rsidRDefault="0030381B" w:rsidP="0030381B">
      <w:pPr>
        <w:rPr>
          <w:rFonts w:ascii="Open Sans" w:hAnsi="Open Sans" w:cs="Open Sans"/>
        </w:rPr>
      </w:pPr>
    </w:p>
    <w:p w14:paraId="7C889265" w14:textId="1910591F" w:rsidR="0030381B" w:rsidRPr="007522F0" w:rsidRDefault="0030381B" w:rsidP="0030381B">
      <w:pPr>
        <w:tabs>
          <w:tab w:val="left" w:pos="6574"/>
        </w:tabs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tab/>
      </w:r>
    </w:p>
    <w:p w14:paraId="49BABF7B" w14:textId="12322171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28399869" w14:textId="4498BC00" w:rsidR="002F4BF6" w:rsidRPr="007522F0" w:rsidRDefault="002F4BF6" w:rsidP="0030381B">
      <w:pPr>
        <w:tabs>
          <w:tab w:val="left" w:pos="6574"/>
        </w:tabs>
        <w:rPr>
          <w:rFonts w:ascii="Open Sans" w:hAnsi="Open Sans" w:cs="Open Sans"/>
        </w:rPr>
      </w:pPr>
    </w:p>
    <w:p w14:paraId="32712D42" w14:textId="77777777" w:rsidR="002F4BF6" w:rsidRPr="007522F0" w:rsidRDefault="002F4BF6" w:rsidP="0030381B">
      <w:pPr>
        <w:tabs>
          <w:tab w:val="left" w:pos="6574"/>
        </w:tabs>
        <w:rPr>
          <w:rFonts w:ascii="Open Sans" w:hAnsi="Open Sans" w:cs="Open Sans"/>
        </w:rPr>
      </w:pPr>
    </w:p>
    <w:p w14:paraId="60D9226F" w14:textId="1C29B986" w:rsidR="00EC7192" w:rsidRPr="007522F0" w:rsidRDefault="00EC7192" w:rsidP="002F4BF6">
      <w:pPr>
        <w:pStyle w:val="TitleLQMS"/>
        <w:rPr>
          <w:rFonts w:ascii="Open Sans" w:hAnsi="Open Sans" w:cs="Open Sans"/>
        </w:rPr>
      </w:pPr>
    </w:p>
    <w:p w14:paraId="0BAFDBF8" w14:textId="749666B9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48EFB8CC" w14:textId="2F915209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7504FAA2" w14:textId="5B10111C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6F4F1C10" w14:textId="48F48D25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647FAC47" w14:textId="592B9C0D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7104C486" w14:textId="5EF44668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5C3DFC31" w14:textId="5F5F00BB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5AABEE3C" w14:textId="10DF47A5" w:rsidR="006F52AC" w:rsidRPr="007522F0" w:rsidRDefault="006F52AC" w:rsidP="0030381B">
      <w:pPr>
        <w:tabs>
          <w:tab w:val="left" w:pos="6574"/>
        </w:tabs>
        <w:rPr>
          <w:rFonts w:ascii="Open Sans" w:hAnsi="Open Sans" w:cs="Open Sans"/>
        </w:rPr>
      </w:pPr>
    </w:p>
    <w:p w14:paraId="60CC423B" w14:textId="77777777" w:rsidR="006F52AC" w:rsidRPr="007522F0" w:rsidRDefault="006F52AC" w:rsidP="0030381B">
      <w:pPr>
        <w:tabs>
          <w:tab w:val="left" w:pos="6574"/>
        </w:tabs>
        <w:rPr>
          <w:rFonts w:ascii="Open Sans" w:hAnsi="Open Sans" w:cs="Open Sans"/>
        </w:rPr>
      </w:pPr>
    </w:p>
    <w:p w14:paraId="4EB8750E" w14:textId="156F8709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729C1BCA" w14:textId="69E30513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45468AEF" w14:textId="07C78851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2EE117F1" w14:textId="0C605457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669054A3" w14:textId="4A0BD28C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42991CD3" w14:textId="06F3ADF0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4D647726" w14:textId="223BD807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6CDB5B9B" w14:textId="36564C0F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27B0B3F1" w14:textId="40F3EBE2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</w:pPr>
    </w:p>
    <w:p w14:paraId="6779F178" w14:textId="77777777" w:rsidR="00EC7192" w:rsidRPr="007522F0" w:rsidRDefault="00EC7192" w:rsidP="0030381B">
      <w:pPr>
        <w:tabs>
          <w:tab w:val="left" w:pos="6574"/>
        </w:tabs>
        <w:rPr>
          <w:rFonts w:ascii="Open Sans" w:hAnsi="Open Sans" w:cs="Open Sans"/>
        </w:rPr>
        <w:sectPr w:rsidR="00EC7192" w:rsidRPr="007522F0" w:rsidSect="00EC7192">
          <w:headerReference w:type="default" r:id="rId9"/>
          <w:pgSz w:w="11906" w:h="16838"/>
          <w:pgMar w:top="1998" w:right="1440" w:bottom="1440" w:left="1440" w:header="708" w:footer="708" w:gutter="0"/>
          <w:cols w:space="708"/>
          <w:docGrid w:linePitch="360"/>
        </w:sectPr>
      </w:pPr>
    </w:p>
    <w:p w14:paraId="68315184" w14:textId="48192B50" w:rsidR="001B5FF4" w:rsidRPr="007522F0" w:rsidRDefault="001B5FF4" w:rsidP="001B5FF4">
      <w:pPr>
        <w:pStyle w:val="Heading1"/>
        <w:rPr>
          <w:rFonts w:ascii="Open Sans" w:hAnsi="Open Sans" w:cs="Open Sans"/>
        </w:rPr>
      </w:pPr>
      <w:bookmarkStart w:id="0" w:name="_Toc40770841"/>
      <w:r w:rsidRPr="007522F0">
        <w:rPr>
          <w:rFonts w:ascii="Open Sans" w:hAnsi="Open Sans" w:cs="Open Sans"/>
        </w:rPr>
        <w:lastRenderedPageBreak/>
        <w:t xml:space="preserve">The LogiqcQMS Accreditation </w:t>
      </w:r>
      <w:r w:rsidR="00350B12" w:rsidRPr="007522F0">
        <w:rPr>
          <w:rFonts w:ascii="Open Sans" w:hAnsi="Open Sans" w:cs="Open Sans"/>
        </w:rPr>
        <w:t>evidence reports</w:t>
      </w:r>
    </w:p>
    <w:p w14:paraId="47112F16" w14:textId="33EE7D47" w:rsidR="001B5FF4" w:rsidRPr="007522F0" w:rsidRDefault="001B5FF4" w:rsidP="001B5FF4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The LogiqcQMS Accreditation Register is a self-assessment tool that supports the </w:t>
      </w:r>
      <w:r w:rsidR="00A54069" w:rsidRPr="007522F0">
        <w:rPr>
          <w:rFonts w:cs="Open Sans"/>
        </w:rPr>
        <w:t>organisation</w:t>
      </w:r>
      <w:r w:rsidRPr="007522F0">
        <w:rPr>
          <w:rFonts w:cs="Open Sans"/>
        </w:rPr>
        <w:t xml:space="preserve"> to create an evidence report against standards requirements </w:t>
      </w:r>
      <w:r w:rsidR="00C96774" w:rsidRPr="007522F0">
        <w:rPr>
          <w:rFonts w:cs="Open Sans"/>
        </w:rPr>
        <w:t xml:space="preserve">by </w:t>
      </w:r>
      <w:r w:rsidRPr="007522F0">
        <w:rPr>
          <w:rFonts w:cs="Open Sans"/>
        </w:rPr>
        <w:t>link</w:t>
      </w:r>
      <w:r w:rsidR="00C96774" w:rsidRPr="007522F0">
        <w:rPr>
          <w:rFonts w:cs="Open Sans"/>
        </w:rPr>
        <w:t>ing</w:t>
      </w:r>
      <w:r w:rsidRPr="007522F0">
        <w:rPr>
          <w:rFonts w:cs="Open Sans"/>
        </w:rPr>
        <w:t xml:space="preserve"> relevant evidence in their system (</w:t>
      </w:r>
      <w:proofErr w:type="gramStart"/>
      <w:r w:rsidRPr="007522F0">
        <w:rPr>
          <w:rFonts w:cs="Open Sans"/>
        </w:rPr>
        <w:t>eg</w:t>
      </w:r>
      <w:proofErr w:type="gramEnd"/>
      <w:r w:rsidRPr="007522F0">
        <w:rPr>
          <w:rFonts w:cs="Open Sans"/>
        </w:rPr>
        <w:t xml:space="preserve"> policies) to the associated criterion </w:t>
      </w:r>
      <w:r w:rsidR="00C96774" w:rsidRPr="007522F0">
        <w:rPr>
          <w:rFonts w:cs="Open Sans"/>
        </w:rPr>
        <w:t xml:space="preserve">and requirements of </w:t>
      </w:r>
      <w:r w:rsidR="00A54069" w:rsidRPr="007522F0">
        <w:rPr>
          <w:rFonts w:cs="Open Sans"/>
        </w:rPr>
        <w:t>a given s</w:t>
      </w:r>
      <w:r w:rsidRPr="007522F0">
        <w:rPr>
          <w:rFonts w:cs="Open Sans"/>
        </w:rPr>
        <w:t>tandard</w:t>
      </w:r>
      <w:r w:rsidR="00C96774" w:rsidRPr="007522F0">
        <w:rPr>
          <w:rFonts w:cs="Open Sans"/>
        </w:rPr>
        <w:t>.</w:t>
      </w:r>
      <w:r w:rsidRPr="007522F0">
        <w:rPr>
          <w:rFonts w:cs="Open Sans"/>
        </w:rPr>
        <w:t xml:space="preserve"> </w:t>
      </w:r>
    </w:p>
    <w:p w14:paraId="40276874" w14:textId="0E98B0A2" w:rsidR="0043519A" w:rsidRPr="007522F0" w:rsidRDefault="00C96774" w:rsidP="0043519A">
      <w:pPr>
        <w:pStyle w:val="Heading1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t>F</w:t>
      </w:r>
      <w:r w:rsidR="0043519A" w:rsidRPr="007522F0">
        <w:rPr>
          <w:rFonts w:ascii="Open Sans" w:hAnsi="Open Sans" w:cs="Open Sans"/>
        </w:rPr>
        <w:t xml:space="preserve">or </w:t>
      </w:r>
      <w:r w:rsidR="00A54069" w:rsidRPr="007522F0">
        <w:rPr>
          <w:rFonts w:ascii="Open Sans" w:hAnsi="Open Sans" w:cs="Open Sans"/>
        </w:rPr>
        <w:t>Auditors</w:t>
      </w:r>
    </w:p>
    <w:p w14:paraId="54659A79" w14:textId="46E0EB27" w:rsidR="00177C82" w:rsidRPr="007522F0" w:rsidRDefault="00A54069" w:rsidP="0043519A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Auditors </w:t>
      </w:r>
      <w:r w:rsidR="00177C82" w:rsidRPr="007522F0">
        <w:rPr>
          <w:rFonts w:cs="Open Sans"/>
        </w:rPr>
        <w:t xml:space="preserve">can use the LogiqcQMS </w:t>
      </w:r>
      <w:r w:rsidR="0043519A" w:rsidRPr="007522F0">
        <w:rPr>
          <w:rFonts w:cs="Open Sans"/>
        </w:rPr>
        <w:t xml:space="preserve">for the purposes of reviewing </w:t>
      </w:r>
      <w:r w:rsidR="00177C82" w:rsidRPr="007522F0">
        <w:rPr>
          <w:rFonts w:cs="Open Sans"/>
        </w:rPr>
        <w:t>how a</w:t>
      </w:r>
      <w:r w:rsidRPr="007522F0">
        <w:rPr>
          <w:rFonts w:cs="Open Sans"/>
        </w:rPr>
        <w:t>n</w:t>
      </w:r>
      <w:r w:rsidR="00177C82" w:rsidRPr="007522F0">
        <w:rPr>
          <w:rFonts w:cs="Open Sans"/>
        </w:rPr>
        <w:t xml:space="preserve"> </w:t>
      </w:r>
      <w:r w:rsidRPr="007522F0">
        <w:rPr>
          <w:rFonts w:cs="Open Sans"/>
        </w:rPr>
        <w:t xml:space="preserve">organisation </w:t>
      </w:r>
      <w:r w:rsidR="00177C82" w:rsidRPr="007522F0">
        <w:rPr>
          <w:rFonts w:cs="Open Sans"/>
        </w:rPr>
        <w:t>complies with the requirement</w:t>
      </w:r>
      <w:r w:rsidRPr="007522F0">
        <w:rPr>
          <w:rFonts w:cs="Open Sans"/>
        </w:rPr>
        <w:t>s</w:t>
      </w:r>
      <w:r w:rsidR="00177C82" w:rsidRPr="007522F0">
        <w:rPr>
          <w:rFonts w:cs="Open Sans"/>
        </w:rPr>
        <w:t xml:space="preserve"> of </w:t>
      </w:r>
      <w:r w:rsidRPr="007522F0">
        <w:rPr>
          <w:rFonts w:cs="Open Sans"/>
        </w:rPr>
        <w:t>standards</w:t>
      </w:r>
      <w:r w:rsidR="00177C82" w:rsidRPr="007522F0">
        <w:rPr>
          <w:rFonts w:cs="Open Sans"/>
        </w:rPr>
        <w:t xml:space="preserve">. </w:t>
      </w:r>
    </w:p>
    <w:p w14:paraId="501EB301" w14:textId="1849236F" w:rsidR="0043519A" w:rsidRPr="007522F0" w:rsidRDefault="0043519A" w:rsidP="0043519A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The </w:t>
      </w:r>
      <w:r w:rsidR="00A54069" w:rsidRPr="007522F0">
        <w:rPr>
          <w:rFonts w:cs="Open Sans"/>
        </w:rPr>
        <w:t xml:space="preserve">organisation </w:t>
      </w:r>
      <w:r w:rsidRPr="007522F0">
        <w:rPr>
          <w:rFonts w:cs="Open Sans"/>
        </w:rPr>
        <w:t xml:space="preserve">can provide </w:t>
      </w:r>
      <w:r w:rsidR="00A54069" w:rsidRPr="007522F0">
        <w:rPr>
          <w:rFonts w:cs="Open Sans"/>
        </w:rPr>
        <w:t xml:space="preserve">auditors </w:t>
      </w:r>
      <w:r w:rsidRPr="007522F0">
        <w:rPr>
          <w:rFonts w:cs="Open Sans"/>
        </w:rPr>
        <w:t>with a username and password</w:t>
      </w:r>
      <w:r w:rsidR="00177C82" w:rsidRPr="007522F0">
        <w:rPr>
          <w:rFonts w:cs="Open Sans"/>
        </w:rPr>
        <w:t xml:space="preserve"> to access their system</w:t>
      </w:r>
      <w:r w:rsidR="00C96774" w:rsidRPr="007522F0">
        <w:rPr>
          <w:rFonts w:cs="Open Sans"/>
        </w:rPr>
        <w:t xml:space="preserve"> to </w:t>
      </w:r>
      <w:r w:rsidR="00177C82" w:rsidRPr="007522F0">
        <w:rPr>
          <w:rFonts w:cs="Open Sans"/>
        </w:rPr>
        <w:t xml:space="preserve">review </w:t>
      </w:r>
      <w:r w:rsidR="001C64D5" w:rsidRPr="007522F0">
        <w:rPr>
          <w:rFonts w:cs="Open Sans"/>
        </w:rPr>
        <w:t xml:space="preserve">their </w:t>
      </w:r>
      <w:r w:rsidR="00177C82" w:rsidRPr="007522F0">
        <w:rPr>
          <w:rFonts w:cs="Open Sans"/>
        </w:rPr>
        <w:t xml:space="preserve">self- assessment and evidence. </w:t>
      </w:r>
    </w:p>
    <w:p w14:paraId="14BF95D1" w14:textId="103002C7" w:rsidR="00C96774" w:rsidRPr="007522F0" w:rsidRDefault="00C96774" w:rsidP="00C96774">
      <w:pPr>
        <w:pStyle w:val="Heading1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t xml:space="preserve">For </w:t>
      </w:r>
      <w:r w:rsidR="00A54069" w:rsidRPr="007522F0">
        <w:rPr>
          <w:rFonts w:ascii="Open Sans" w:hAnsi="Open Sans" w:cs="Open Sans"/>
        </w:rPr>
        <w:t>organisations</w:t>
      </w:r>
    </w:p>
    <w:p w14:paraId="7F6C9D95" w14:textId="4994F237" w:rsidR="00C96774" w:rsidRPr="007522F0" w:rsidRDefault="00A54069" w:rsidP="00C96774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Organisations </w:t>
      </w:r>
      <w:r w:rsidR="00C96774" w:rsidRPr="007522F0">
        <w:rPr>
          <w:rFonts w:cs="Open Sans"/>
        </w:rPr>
        <w:t xml:space="preserve">can use the LogiqcQMS Accreditation Register </w:t>
      </w:r>
      <w:r w:rsidRPr="007522F0">
        <w:rPr>
          <w:rFonts w:cs="Open Sans"/>
        </w:rPr>
        <w:t xml:space="preserve">during external audits as a means of providing the auditor with easy access to evidence of compliance with given standards. </w:t>
      </w:r>
      <w:r w:rsidR="00F26108" w:rsidRPr="007522F0">
        <w:rPr>
          <w:rFonts w:cs="Open Sans"/>
        </w:rPr>
        <w:t xml:space="preserve">The evidence </w:t>
      </w:r>
      <w:proofErr w:type="gramStart"/>
      <w:r w:rsidR="00F26108" w:rsidRPr="007522F0">
        <w:rPr>
          <w:rFonts w:cs="Open Sans"/>
        </w:rPr>
        <w:t>report</w:t>
      </w:r>
      <w:proofErr w:type="gramEnd"/>
      <w:r w:rsidR="00F26108" w:rsidRPr="007522F0">
        <w:rPr>
          <w:rFonts w:cs="Open Sans"/>
        </w:rPr>
        <w:t xml:space="preserve"> for m</w:t>
      </w:r>
      <w:r w:rsidR="00C96774" w:rsidRPr="007522F0">
        <w:rPr>
          <w:rFonts w:cs="Open Sans"/>
        </w:rPr>
        <w:t xml:space="preserve">ore than </w:t>
      </w:r>
      <w:r w:rsidR="00350B12" w:rsidRPr="007522F0">
        <w:rPr>
          <w:rFonts w:cs="Open Sans"/>
        </w:rPr>
        <w:t xml:space="preserve">50 </w:t>
      </w:r>
      <w:r w:rsidRPr="007522F0">
        <w:rPr>
          <w:rFonts w:cs="Open Sans"/>
        </w:rPr>
        <w:t xml:space="preserve">Australian, </w:t>
      </w:r>
      <w:r w:rsidR="00C96774" w:rsidRPr="007522F0">
        <w:rPr>
          <w:rFonts w:cs="Open Sans"/>
        </w:rPr>
        <w:t>NZ and international clinical and quality standard</w:t>
      </w:r>
      <w:r w:rsidR="00350B12" w:rsidRPr="007522F0">
        <w:rPr>
          <w:rFonts w:cs="Open Sans"/>
        </w:rPr>
        <w:t xml:space="preserve"> </w:t>
      </w:r>
      <w:r w:rsidR="00F26108" w:rsidRPr="007522F0">
        <w:rPr>
          <w:rFonts w:cs="Open Sans"/>
        </w:rPr>
        <w:t xml:space="preserve">can be setup </w:t>
      </w:r>
      <w:r w:rsidR="00C96774" w:rsidRPr="007522F0">
        <w:rPr>
          <w:rFonts w:cs="Open Sans"/>
        </w:rPr>
        <w:t xml:space="preserve">in the </w:t>
      </w:r>
      <w:r w:rsidRPr="007522F0">
        <w:rPr>
          <w:rFonts w:cs="Open Sans"/>
        </w:rPr>
        <w:t>LogiqcQMS platform</w:t>
      </w:r>
      <w:r w:rsidR="00C96774" w:rsidRPr="007522F0">
        <w:rPr>
          <w:rFonts w:cs="Open Sans"/>
        </w:rPr>
        <w:t xml:space="preserve">. </w:t>
      </w:r>
    </w:p>
    <w:p w14:paraId="33A18F1E" w14:textId="77777777" w:rsidR="00C96774" w:rsidRPr="007522F0" w:rsidRDefault="00C96774" w:rsidP="00C96774">
      <w:pPr>
        <w:pStyle w:val="Heading1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t>LogiqcQMS platform overview</w:t>
      </w:r>
    </w:p>
    <w:p w14:paraId="57FC4B23" w14:textId="79E44BDF" w:rsidR="00C96774" w:rsidRPr="007522F0" w:rsidRDefault="00C96774" w:rsidP="00C96774">
      <w:pPr>
        <w:pStyle w:val="BodyLQMS"/>
        <w:rPr>
          <w:rFonts w:cs="Open Sans"/>
        </w:rPr>
      </w:pPr>
      <w:r w:rsidRPr="007522F0">
        <w:rPr>
          <w:rFonts w:cs="Open Sans"/>
        </w:rPr>
        <w:t>The LogiqcQMS is a total quality and compliance management solution, customised to relevant quality standards, that drives business transformation and growth.</w:t>
      </w:r>
    </w:p>
    <w:p w14:paraId="04DB645F" w14:textId="463F9589" w:rsidR="00C96774" w:rsidRPr="007522F0" w:rsidRDefault="00C96774" w:rsidP="00C96774">
      <w:pPr>
        <w:pStyle w:val="BodyLQMS"/>
        <w:rPr>
          <w:rFonts w:cs="Open Sans"/>
        </w:rPr>
      </w:pPr>
      <w:r w:rsidRPr="007522F0">
        <w:rPr>
          <w:rFonts w:cs="Open Sans"/>
        </w:rPr>
        <w:t>LogiqcQMS can be configured for a single purpose or as a fully integrated platform to support a wide range of management processes including:</w:t>
      </w:r>
    </w:p>
    <w:p w14:paraId="6FA63E24" w14:textId="77777777" w:rsidR="00C96774" w:rsidRPr="007522F0" w:rsidRDefault="00C96774" w:rsidP="00C96774">
      <w:pPr>
        <w:pStyle w:val="BulletPoints"/>
        <w:rPr>
          <w:rFonts w:cs="Open Sans"/>
        </w:rPr>
      </w:pPr>
      <w:r w:rsidRPr="007522F0">
        <w:rPr>
          <w:rFonts w:cs="Open Sans"/>
        </w:rPr>
        <w:t xml:space="preserve">Accreditation self-assessment and evidence reporting </w:t>
      </w:r>
    </w:p>
    <w:p w14:paraId="57AADCAB" w14:textId="77777777" w:rsidR="00C96774" w:rsidRPr="007522F0" w:rsidRDefault="00C96774" w:rsidP="00C96774">
      <w:pPr>
        <w:pStyle w:val="BulletPoints"/>
        <w:rPr>
          <w:rFonts w:cs="Open Sans"/>
        </w:rPr>
      </w:pPr>
      <w:r w:rsidRPr="007522F0">
        <w:rPr>
          <w:rFonts w:cs="Open Sans"/>
        </w:rPr>
        <w:t xml:space="preserve">Risk and hazard management </w:t>
      </w:r>
    </w:p>
    <w:p w14:paraId="50E0740C" w14:textId="77777777" w:rsidR="00C96774" w:rsidRPr="007522F0" w:rsidRDefault="00C96774" w:rsidP="00C96774">
      <w:pPr>
        <w:pStyle w:val="BulletPoints"/>
        <w:rPr>
          <w:rFonts w:cs="Open Sans"/>
        </w:rPr>
      </w:pPr>
      <w:r w:rsidRPr="007522F0">
        <w:rPr>
          <w:rFonts w:cs="Open Sans"/>
        </w:rPr>
        <w:t xml:space="preserve">Document control </w:t>
      </w:r>
    </w:p>
    <w:p w14:paraId="4DD0C7BA" w14:textId="77777777" w:rsidR="00C96774" w:rsidRPr="007522F0" w:rsidRDefault="00C96774" w:rsidP="00C96774">
      <w:pPr>
        <w:pStyle w:val="BulletPoints"/>
        <w:rPr>
          <w:rFonts w:cs="Open Sans"/>
        </w:rPr>
      </w:pPr>
      <w:r w:rsidRPr="007522F0">
        <w:rPr>
          <w:rFonts w:cs="Open Sans"/>
        </w:rPr>
        <w:t xml:space="preserve">Contract and compliance management </w:t>
      </w:r>
    </w:p>
    <w:p w14:paraId="5D8AFC77" w14:textId="77777777" w:rsidR="00C96774" w:rsidRPr="007522F0" w:rsidRDefault="00C96774" w:rsidP="00C96774">
      <w:pPr>
        <w:pStyle w:val="BulletPoints"/>
        <w:rPr>
          <w:rFonts w:cs="Open Sans"/>
        </w:rPr>
      </w:pPr>
      <w:r w:rsidRPr="007522F0">
        <w:rPr>
          <w:rFonts w:cs="Open Sans"/>
        </w:rPr>
        <w:t>Safety (incidents and complaints)</w:t>
      </w:r>
    </w:p>
    <w:p w14:paraId="38044F87" w14:textId="77777777" w:rsidR="00C96774" w:rsidRPr="007522F0" w:rsidRDefault="00C96774" w:rsidP="00C96774">
      <w:pPr>
        <w:pStyle w:val="BulletPoints"/>
        <w:rPr>
          <w:rFonts w:cs="Open Sans"/>
        </w:rPr>
      </w:pPr>
      <w:r w:rsidRPr="007522F0">
        <w:rPr>
          <w:rFonts w:cs="Open Sans"/>
        </w:rPr>
        <w:t xml:space="preserve">Internal audit and Improvement </w:t>
      </w:r>
    </w:p>
    <w:p w14:paraId="186BAFE8" w14:textId="6042B75F" w:rsidR="00C96774" w:rsidRPr="007522F0" w:rsidRDefault="00C96774" w:rsidP="00C96774">
      <w:pPr>
        <w:pStyle w:val="BodyLQMS"/>
        <w:rPr>
          <w:rFonts w:cs="Open Sans"/>
        </w:rPr>
      </w:pPr>
      <w:r w:rsidRPr="007522F0">
        <w:rPr>
          <w:rFonts w:cs="Open Sans"/>
        </w:rPr>
        <w:t>The LogiqcQMS is a cloud-based software platform used by Day Hospitals</w:t>
      </w:r>
      <w:r w:rsidR="000642BB" w:rsidRPr="007522F0">
        <w:rPr>
          <w:rFonts w:cs="Open Sans"/>
        </w:rPr>
        <w:t>,</w:t>
      </w:r>
      <w:r w:rsidRPr="007522F0">
        <w:rPr>
          <w:rFonts w:cs="Open Sans"/>
        </w:rPr>
        <w:t xml:space="preserve"> Community Service Organisations</w:t>
      </w:r>
      <w:r w:rsidR="000642BB" w:rsidRPr="007522F0">
        <w:rPr>
          <w:rFonts w:cs="Open Sans"/>
        </w:rPr>
        <w:t>, GP practices, and PHO’s</w:t>
      </w:r>
      <w:r w:rsidRPr="007522F0">
        <w:rPr>
          <w:rFonts w:cs="Open Sans"/>
        </w:rPr>
        <w:t xml:space="preserve"> across Australia and New Zealand.</w:t>
      </w:r>
    </w:p>
    <w:p w14:paraId="620BC5ED" w14:textId="2E079414" w:rsidR="002C5B35" w:rsidRPr="007522F0" w:rsidRDefault="002C5B35">
      <w:pPr>
        <w:widowControl/>
        <w:autoSpaceDE/>
        <w:autoSpaceDN/>
        <w:spacing w:after="160" w:line="259" w:lineRule="auto"/>
        <w:rPr>
          <w:rFonts w:ascii="Open Sans" w:eastAsiaTheme="majorEastAsia" w:hAnsi="Open Sans" w:cs="Open Sans"/>
          <w:i/>
          <w:iCs/>
          <w:sz w:val="32"/>
          <w:szCs w:val="32"/>
        </w:rPr>
      </w:pPr>
      <w:r w:rsidRPr="007522F0">
        <w:rPr>
          <w:rFonts w:ascii="Open Sans" w:hAnsi="Open Sans" w:cs="Open Sans"/>
          <w:i/>
          <w:iCs/>
        </w:rPr>
        <w:br w:type="page"/>
      </w:r>
    </w:p>
    <w:p w14:paraId="274F4F09" w14:textId="07C7DF60" w:rsidR="006B751E" w:rsidRPr="007522F0" w:rsidRDefault="005141A8" w:rsidP="006B751E">
      <w:pPr>
        <w:pStyle w:val="Heading1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lastRenderedPageBreak/>
        <w:t xml:space="preserve">Overview </w:t>
      </w:r>
    </w:p>
    <w:p w14:paraId="6CB5515A" w14:textId="13C0C38D" w:rsidR="0043519A" w:rsidRPr="007522F0" w:rsidRDefault="0043519A" w:rsidP="0043519A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The </w:t>
      </w:r>
      <w:r w:rsidR="000642BB" w:rsidRPr="007522F0">
        <w:rPr>
          <w:rFonts w:cs="Open Sans"/>
        </w:rPr>
        <w:t>organisation’s</w:t>
      </w:r>
      <w:r w:rsidRPr="007522F0">
        <w:rPr>
          <w:rFonts w:cs="Open Sans"/>
        </w:rPr>
        <w:t xml:space="preserve"> evidence report lists the criteria in the </w:t>
      </w:r>
      <w:r w:rsidR="000642BB" w:rsidRPr="007522F0">
        <w:rPr>
          <w:rFonts w:cs="Open Sans"/>
        </w:rPr>
        <w:t xml:space="preserve">given standard. </w:t>
      </w:r>
      <w:r w:rsidR="006B751E" w:rsidRPr="007522F0">
        <w:rPr>
          <w:rFonts w:cs="Open Sans"/>
        </w:rPr>
        <w:t xml:space="preserve"> </w:t>
      </w:r>
      <w:r w:rsidRPr="007522F0">
        <w:rPr>
          <w:rFonts w:cs="Open Sans"/>
        </w:rPr>
        <w:t xml:space="preserve"> </w:t>
      </w:r>
    </w:p>
    <w:p w14:paraId="573A30EA" w14:textId="7AC13DDB" w:rsidR="0043519A" w:rsidRPr="007522F0" w:rsidRDefault="000642BB" w:rsidP="0043519A">
      <w:pPr>
        <w:pStyle w:val="BodyLQMS"/>
        <w:rPr>
          <w:rFonts w:cs="Open Sans"/>
        </w:rPr>
      </w:pPr>
      <w:r w:rsidRPr="007522F0">
        <w:rPr>
          <w:rFonts w:cs="Open Sans"/>
          <w:noProof/>
        </w:rPr>
        <w:drawing>
          <wp:inline distT="0" distB="0" distL="0" distR="0" wp14:anchorId="626F058C" wp14:editId="4A27C83D">
            <wp:extent cx="6120130" cy="2741930"/>
            <wp:effectExtent l="19050" t="19050" r="1397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19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1154D3" w14:textId="77777777" w:rsidR="000E50F3" w:rsidRPr="007522F0" w:rsidRDefault="000E50F3" w:rsidP="0043519A">
      <w:pPr>
        <w:pStyle w:val="BodyLQMS"/>
        <w:rPr>
          <w:rFonts w:cs="Open Sans"/>
        </w:rPr>
      </w:pPr>
    </w:p>
    <w:p w14:paraId="11B23A8F" w14:textId="3EAA6C81" w:rsidR="0043519A" w:rsidRPr="007522F0" w:rsidRDefault="006B751E" w:rsidP="0043519A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Clicking on the </w:t>
      </w:r>
      <w:r w:rsidR="000642BB" w:rsidRPr="007522F0">
        <w:rPr>
          <w:rFonts w:cs="Open Sans"/>
        </w:rPr>
        <w:t>assessment requirement link</w:t>
      </w:r>
      <w:r w:rsidRPr="007522F0">
        <w:rPr>
          <w:rFonts w:cs="Open Sans"/>
        </w:rPr>
        <w:t xml:space="preserve"> will open a detailed assessment report from the </w:t>
      </w:r>
      <w:r w:rsidR="000642BB" w:rsidRPr="007522F0">
        <w:rPr>
          <w:rFonts w:cs="Open Sans"/>
        </w:rPr>
        <w:t xml:space="preserve">organisation </w:t>
      </w:r>
      <w:r w:rsidRPr="007522F0">
        <w:rPr>
          <w:rFonts w:cs="Open Sans"/>
        </w:rPr>
        <w:t xml:space="preserve">including a description of how the </w:t>
      </w:r>
      <w:r w:rsidR="000642BB" w:rsidRPr="007522F0">
        <w:rPr>
          <w:rFonts w:cs="Open Sans"/>
        </w:rPr>
        <w:t xml:space="preserve">organisation </w:t>
      </w:r>
      <w:r w:rsidRPr="007522F0">
        <w:rPr>
          <w:rFonts w:cs="Open Sans"/>
        </w:rPr>
        <w:t xml:space="preserve">complies with the criterion and hyperlinks to relevant evidence held in the </w:t>
      </w:r>
      <w:r w:rsidR="000642BB" w:rsidRPr="007522F0">
        <w:rPr>
          <w:rFonts w:cs="Open Sans"/>
        </w:rPr>
        <w:t xml:space="preserve">organisation’s </w:t>
      </w:r>
      <w:r w:rsidRPr="007522F0">
        <w:rPr>
          <w:rFonts w:cs="Open Sans"/>
        </w:rPr>
        <w:t xml:space="preserve">LogiqcQMS such as documents (policies and procedures), records and certificates etc. In addition, the </w:t>
      </w:r>
      <w:r w:rsidR="000642BB" w:rsidRPr="007522F0">
        <w:rPr>
          <w:rFonts w:cs="Open Sans"/>
        </w:rPr>
        <w:t>organisation</w:t>
      </w:r>
      <w:r w:rsidRPr="007522F0">
        <w:rPr>
          <w:rFonts w:cs="Open Sans"/>
        </w:rPr>
        <w:t xml:space="preserve"> can attach </w:t>
      </w:r>
      <w:r w:rsidR="00945682" w:rsidRPr="007522F0">
        <w:rPr>
          <w:rFonts w:cs="Open Sans"/>
        </w:rPr>
        <w:t xml:space="preserve">links to </w:t>
      </w:r>
      <w:r w:rsidRPr="007522F0">
        <w:rPr>
          <w:rFonts w:cs="Open Sans"/>
        </w:rPr>
        <w:t xml:space="preserve">scheduled processes such as audits and </w:t>
      </w:r>
      <w:r w:rsidR="000642BB" w:rsidRPr="007522F0">
        <w:rPr>
          <w:rFonts w:cs="Open Sans"/>
        </w:rPr>
        <w:t>compliance tasks</w:t>
      </w:r>
      <w:r w:rsidR="00945682" w:rsidRPr="007522F0">
        <w:rPr>
          <w:rFonts w:cs="Open Sans"/>
        </w:rPr>
        <w:t xml:space="preserve">. </w:t>
      </w:r>
    </w:p>
    <w:p w14:paraId="7477652C" w14:textId="77777777" w:rsidR="007522F0" w:rsidRDefault="007522F0">
      <w:pPr>
        <w:widowControl/>
        <w:autoSpaceDE/>
        <w:autoSpaceDN/>
        <w:spacing w:after="160" w:line="259" w:lineRule="auto"/>
        <w:rPr>
          <w:rFonts w:ascii="Open Sans" w:eastAsiaTheme="majorEastAsia" w:hAnsi="Open Sans" w:cs="Open Sans"/>
          <w:sz w:val="32"/>
          <w:szCs w:val="32"/>
        </w:rPr>
      </w:pPr>
      <w:r>
        <w:rPr>
          <w:rFonts w:ascii="Open Sans" w:hAnsi="Open Sans" w:cs="Open Sans"/>
        </w:rPr>
        <w:br w:type="page"/>
      </w:r>
    </w:p>
    <w:p w14:paraId="754E80FF" w14:textId="147C0278" w:rsidR="005141A8" w:rsidRPr="007522F0" w:rsidRDefault="005141A8" w:rsidP="00EA44D0">
      <w:pPr>
        <w:pStyle w:val="Heading1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lastRenderedPageBreak/>
        <w:t xml:space="preserve">Instructions </w:t>
      </w:r>
    </w:p>
    <w:p w14:paraId="7E475CC5" w14:textId="5C47A36C" w:rsidR="00EA44D0" w:rsidRPr="007522F0" w:rsidRDefault="00EA44D0" w:rsidP="00EA44D0">
      <w:pPr>
        <w:pStyle w:val="NumberLQMS"/>
        <w:rPr>
          <w:rFonts w:cs="Open Sans"/>
        </w:rPr>
      </w:pPr>
      <w:r w:rsidRPr="007522F0">
        <w:rPr>
          <w:rFonts w:cs="Open Sans"/>
        </w:rPr>
        <w:t xml:space="preserve">Log in with the instructions and credentials provided by the </w:t>
      </w:r>
      <w:r w:rsidR="000642BB" w:rsidRPr="007522F0">
        <w:rPr>
          <w:rFonts w:cs="Open Sans"/>
        </w:rPr>
        <w:t>organisation</w:t>
      </w:r>
    </w:p>
    <w:p w14:paraId="33E3BB28" w14:textId="021CB66E" w:rsidR="00EA44D0" w:rsidRPr="007522F0" w:rsidRDefault="00EA44D0" w:rsidP="0043519A">
      <w:pPr>
        <w:pStyle w:val="NumberLQMS"/>
        <w:rPr>
          <w:rFonts w:cs="Open Sans"/>
        </w:rPr>
      </w:pPr>
      <w:r w:rsidRPr="007522F0">
        <w:rPr>
          <w:rFonts w:cs="Open Sans"/>
        </w:rPr>
        <w:t>Select Accreditation from the navigation panel</w:t>
      </w:r>
    </w:p>
    <w:p w14:paraId="20AF7B62" w14:textId="6A6F81FA" w:rsidR="00EA44D0" w:rsidRPr="007522F0" w:rsidRDefault="00EA44D0" w:rsidP="0043519A">
      <w:pPr>
        <w:pStyle w:val="BodyLQMS"/>
        <w:rPr>
          <w:rFonts w:cs="Open Sans"/>
        </w:rPr>
      </w:pPr>
      <w:r w:rsidRPr="007522F0">
        <w:rPr>
          <w:rFonts w:cs="Open Sans"/>
          <w:noProof/>
        </w:rPr>
        <w:drawing>
          <wp:inline distT="0" distB="0" distL="0" distR="0" wp14:anchorId="52DA54B2" wp14:editId="3C50BA14">
            <wp:extent cx="2897994" cy="2267433"/>
            <wp:effectExtent l="19050" t="19050" r="1714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6781" b="14095"/>
                    <a:stretch/>
                  </pic:blipFill>
                  <pic:spPr bwMode="auto">
                    <a:xfrm>
                      <a:off x="0" y="0"/>
                      <a:ext cx="2914975" cy="2280719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5770C" w14:textId="1466ED85" w:rsidR="005D5ECF" w:rsidRPr="007522F0" w:rsidRDefault="005D5ECF" w:rsidP="00EA44D0">
      <w:pPr>
        <w:pStyle w:val="NumberLQMS"/>
        <w:rPr>
          <w:rFonts w:cs="Open Sans"/>
        </w:rPr>
      </w:pPr>
      <w:r w:rsidRPr="007522F0">
        <w:rPr>
          <w:rFonts w:cs="Open Sans"/>
        </w:rPr>
        <w:t>Click on the Evidence report tab</w:t>
      </w:r>
    </w:p>
    <w:p w14:paraId="309B0805" w14:textId="6103D4A8" w:rsidR="00B74953" w:rsidRPr="007522F0" w:rsidRDefault="00F17B0A" w:rsidP="007522F0">
      <w:pPr>
        <w:pStyle w:val="NumberLQMS"/>
        <w:numPr>
          <w:ilvl w:val="0"/>
          <w:numId w:val="0"/>
        </w:numPr>
        <w:ind w:left="360"/>
        <w:rPr>
          <w:rFonts w:cs="Open Sans"/>
        </w:rPr>
      </w:pPr>
      <w:r w:rsidRPr="007522F0">
        <w:rPr>
          <w:rFonts w:cs="Open Sans"/>
          <w:noProof/>
        </w:rPr>
        <w:drawing>
          <wp:inline distT="0" distB="0" distL="0" distR="0" wp14:anchorId="6A3D524D" wp14:editId="41A51399">
            <wp:extent cx="5935345" cy="1210180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85" cy="1227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953" w:rsidRPr="007522F0">
        <w:rPr>
          <w:rFonts w:cs="Open Sans"/>
        </w:rPr>
        <w:t xml:space="preserve">Note: The organisation may have more than one standard activated in their QMS. If the correct standard is not displaying, </w:t>
      </w:r>
      <w:r w:rsidRPr="007522F0">
        <w:rPr>
          <w:rFonts w:cs="Open Sans"/>
        </w:rPr>
        <w:t xml:space="preserve">select the correct standard from the </w:t>
      </w:r>
      <w:proofErr w:type="gramStart"/>
      <w:r w:rsidRPr="007522F0">
        <w:rPr>
          <w:rFonts w:cs="Open Sans"/>
        </w:rPr>
        <w:t>drop down</w:t>
      </w:r>
      <w:proofErr w:type="gramEnd"/>
      <w:r w:rsidRPr="007522F0">
        <w:rPr>
          <w:rFonts w:cs="Open Sans"/>
        </w:rPr>
        <w:t xml:space="preserve"> menu.</w:t>
      </w:r>
    </w:p>
    <w:p w14:paraId="04B9B911" w14:textId="08FB5BEE" w:rsidR="006B751E" w:rsidRPr="007522F0" w:rsidRDefault="00B74953" w:rsidP="00EA44D0">
      <w:pPr>
        <w:pStyle w:val="NumberLQMS"/>
        <w:rPr>
          <w:rFonts w:cs="Open Sans"/>
        </w:rPr>
      </w:pPr>
      <w:r w:rsidRPr="007522F0">
        <w:rPr>
          <w:rFonts w:cs="Open Sans"/>
        </w:rPr>
        <w:t>Click on the specific a</w:t>
      </w:r>
      <w:r w:rsidR="00332ECF" w:rsidRPr="007522F0">
        <w:rPr>
          <w:rFonts w:cs="Open Sans"/>
        </w:rPr>
        <w:t xml:space="preserve">ssessment requirement </w:t>
      </w:r>
      <w:r w:rsidRPr="007522F0">
        <w:rPr>
          <w:rFonts w:cs="Open Sans"/>
        </w:rPr>
        <w:t>to review</w:t>
      </w:r>
    </w:p>
    <w:p w14:paraId="025E37C6" w14:textId="144AA744" w:rsidR="000E50F3" w:rsidRPr="007522F0" w:rsidRDefault="000642BB" w:rsidP="007522F0">
      <w:pPr>
        <w:pStyle w:val="BodyLQMS"/>
        <w:rPr>
          <w:rFonts w:cs="Open Sans"/>
        </w:rPr>
      </w:pPr>
      <w:r w:rsidRPr="007522F0">
        <w:rPr>
          <w:rFonts w:cs="Open Sans"/>
          <w:noProof/>
        </w:rPr>
        <w:drawing>
          <wp:inline distT="0" distB="0" distL="0" distR="0" wp14:anchorId="4D748282" wp14:editId="3244EF97">
            <wp:extent cx="6120130" cy="2257425"/>
            <wp:effectExtent l="19050" t="19050" r="1397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7670"/>
                    <a:stretch/>
                  </pic:blipFill>
                  <pic:spPr bwMode="auto">
                    <a:xfrm>
                      <a:off x="0" y="0"/>
                      <a:ext cx="6120130" cy="22574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DD456" w14:textId="77777777" w:rsidR="007522F0" w:rsidRDefault="007522F0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262626" w:themeColor="text1" w:themeTint="D9"/>
        </w:rPr>
      </w:pPr>
      <w:r>
        <w:rPr>
          <w:rFonts w:cs="Open Sans"/>
        </w:rPr>
        <w:br w:type="page"/>
      </w:r>
    </w:p>
    <w:p w14:paraId="42DDD5CB" w14:textId="6B0210DD" w:rsidR="007522F0" w:rsidRPr="007522F0" w:rsidRDefault="00EA44D0" w:rsidP="007522F0">
      <w:pPr>
        <w:pStyle w:val="NumberLQMS"/>
        <w:spacing w:after="240"/>
        <w:rPr>
          <w:rFonts w:cs="Open Sans"/>
        </w:rPr>
      </w:pPr>
      <w:r w:rsidRPr="007522F0">
        <w:rPr>
          <w:rFonts w:cs="Open Sans"/>
        </w:rPr>
        <w:lastRenderedPageBreak/>
        <w:t xml:space="preserve">Review the </w:t>
      </w:r>
      <w:r w:rsidR="001C64D5" w:rsidRPr="007522F0">
        <w:rPr>
          <w:rFonts w:cs="Open Sans"/>
        </w:rPr>
        <w:t>organisation</w:t>
      </w:r>
      <w:r w:rsidRPr="007522F0">
        <w:rPr>
          <w:rFonts w:cs="Open Sans"/>
        </w:rPr>
        <w:t>’s self-assessment</w:t>
      </w:r>
      <w:r w:rsidR="00136C66" w:rsidRPr="007522F0">
        <w:rPr>
          <w:rFonts w:cs="Open Sans"/>
        </w:rPr>
        <w:t xml:space="preserve"> </w:t>
      </w:r>
      <w:r w:rsidR="00CF45B5" w:rsidRPr="007522F0">
        <w:rPr>
          <w:rFonts w:cs="Open Sans"/>
        </w:rPr>
        <w:t>and evidence</w:t>
      </w:r>
    </w:p>
    <w:p w14:paraId="66B2850C" w14:textId="2D201DC0" w:rsidR="00EA44D0" w:rsidRPr="007522F0" w:rsidRDefault="00B74953" w:rsidP="00EA44D0">
      <w:pPr>
        <w:pStyle w:val="BodyLQMS"/>
        <w:rPr>
          <w:rFonts w:cs="Open Sans"/>
        </w:rPr>
      </w:pPr>
      <w:r w:rsidRPr="007522F0">
        <w:rPr>
          <w:rFonts w:cs="Open Sans"/>
          <w:noProof/>
        </w:rPr>
        <w:drawing>
          <wp:inline distT="0" distB="0" distL="0" distR="0" wp14:anchorId="4422194E" wp14:editId="6D59DFAF">
            <wp:extent cx="6120130" cy="37071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4DA1" w14:textId="77777777" w:rsidR="005D5ECF" w:rsidRPr="007522F0" w:rsidRDefault="005D5ECF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262626" w:themeColor="text1" w:themeTint="D9"/>
        </w:rPr>
      </w:pPr>
      <w:r w:rsidRPr="007522F0">
        <w:rPr>
          <w:rFonts w:ascii="Open Sans" w:hAnsi="Open Sans" w:cs="Open Sans"/>
        </w:rPr>
        <w:br w:type="page"/>
      </w:r>
    </w:p>
    <w:p w14:paraId="79FFEE5B" w14:textId="0CE1C29F" w:rsidR="00222AAC" w:rsidRPr="007522F0" w:rsidRDefault="005D5ECF" w:rsidP="00EA44D0">
      <w:pPr>
        <w:pStyle w:val="NumberLQMS"/>
        <w:rPr>
          <w:rFonts w:cs="Open Sans"/>
        </w:rPr>
      </w:pPr>
      <w:r w:rsidRPr="007522F0">
        <w:rPr>
          <w:rFonts w:cs="Open Sans"/>
        </w:rPr>
        <w:lastRenderedPageBreak/>
        <w:t>Scroll down to r</w:t>
      </w:r>
      <w:r w:rsidR="00EA44D0" w:rsidRPr="007522F0">
        <w:rPr>
          <w:rFonts w:cs="Open Sans"/>
        </w:rPr>
        <w:t xml:space="preserve">eview all the evidence </w:t>
      </w:r>
      <w:r w:rsidRPr="007522F0">
        <w:rPr>
          <w:rFonts w:cs="Open Sans"/>
        </w:rPr>
        <w:t xml:space="preserve">relating to the criterion that the </w:t>
      </w:r>
      <w:r w:rsidR="00B74953" w:rsidRPr="007522F0">
        <w:rPr>
          <w:rFonts w:cs="Open Sans"/>
        </w:rPr>
        <w:t>organisation</w:t>
      </w:r>
      <w:r w:rsidRPr="007522F0">
        <w:rPr>
          <w:rFonts w:cs="Open Sans"/>
        </w:rPr>
        <w:t xml:space="preserve"> has attached. </w:t>
      </w:r>
      <w:r w:rsidR="00222AAC" w:rsidRPr="007522F0">
        <w:rPr>
          <w:rFonts w:cs="Open Sans"/>
        </w:rPr>
        <w:t xml:space="preserve">This may include accreditation/improvement actions that open or completed as well as approved policies being managed in the </w:t>
      </w:r>
      <w:r w:rsidR="00B74953" w:rsidRPr="007522F0">
        <w:rPr>
          <w:rFonts w:cs="Open Sans"/>
        </w:rPr>
        <w:t>organisation</w:t>
      </w:r>
      <w:r w:rsidR="00222AAC" w:rsidRPr="007522F0">
        <w:rPr>
          <w:rFonts w:cs="Open Sans"/>
        </w:rPr>
        <w:t xml:space="preserve">’s system. </w:t>
      </w:r>
    </w:p>
    <w:p w14:paraId="159A807D" w14:textId="3619B709" w:rsidR="006B751E" w:rsidRPr="007522F0" w:rsidRDefault="005D5ECF" w:rsidP="00222AAC">
      <w:pPr>
        <w:pStyle w:val="NumberLQMS"/>
        <w:numPr>
          <w:ilvl w:val="0"/>
          <w:numId w:val="0"/>
        </w:numPr>
        <w:ind w:left="360"/>
        <w:rPr>
          <w:rFonts w:cs="Open Sans"/>
        </w:rPr>
      </w:pPr>
      <w:r w:rsidRPr="007522F0">
        <w:rPr>
          <w:rFonts w:cs="Open Sans"/>
        </w:rPr>
        <w:t>E</w:t>
      </w:r>
      <w:r w:rsidR="00EA44D0" w:rsidRPr="007522F0">
        <w:rPr>
          <w:rFonts w:cs="Open Sans"/>
        </w:rPr>
        <w:t xml:space="preserve">xpand </w:t>
      </w:r>
      <w:r w:rsidR="00A11EA2" w:rsidRPr="007522F0">
        <w:rPr>
          <w:rFonts w:cs="Open Sans"/>
        </w:rPr>
        <w:t xml:space="preserve">each </w:t>
      </w:r>
      <w:r w:rsidRPr="007522F0">
        <w:rPr>
          <w:rFonts w:cs="Open Sans"/>
        </w:rPr>
        <w:t xml:space="preserve">‘evidence </w:t>
      </w:r>
      <w:r w:rsidR="00A11EA2" w:rsidRPr="007522F0">
        <w:rPr>
          <w:rFonts w:cs="Open Sans"/>
        </w:rPr>
        <w:t>panel</w:t>
      </w:r>
      <w:r w:rsidRPr="007522F0">
        <w:rPr>
          <w:rFonts w:cs="Open Sans"/>
        </w:rPr>
        <w:t>’</w:t>
      </w:r>
      <w:r w:rsidR="00A11EA2" w:rsidRPr="007522F0">
        <w:rPr>
          <w:rFonts w:cs="Open Sans"/>
        </w:rPr>
        <w:t xml:space="preserve"> </w:t>
      </w:r>
      <w:r w:rsidRPr="007522F0">
        <w:rPr>
          <w:rFonts w:cs="Open Sans"/>
        </w:rPr>
        <w:t>by clicking on the ‘plus’ (+) icon. C</w:t>
      </w:r>
      <w:r w:rsidR="00A11EA2" w:rsidRPr="007522F0">
        <w:rPr>
          <w:rFonts w:cs="Open Sans"/>
        </w:rPr>
        <w:t xml:space="preserve">lick on the blue </w:t>
      </w:r>
      <w:r w:rsidR="00F93CEA" w:rsidRPr="007522F0">
        <w:rPr>
          <w:rFonts w:cs="Open Sans"/>
        </w:rPr>
        <w:t xml:space="preserve">ID# </w:t>
      </w:r>
      <w:r w:rsidR="00A11EA2" w:rsidRPr="007522F0">
        <w:rPr>
          <w:rFonts w:cs="Open Sans"/>
        </w:rPr>
        <w:t>link</w:t>
      </w:r>
      <w:r w:rsidRPr="007522F0">
        <w:rPr>
          <w:rFonts w:cs="Open Sans"/>
        </w:rPr>
        <w:t xml:space="preserve"> to view the evidence item</w:t>
      </w:r>
      <w:r w:rsidR="00A11EA2" w:rsidRPr="007522F0">
        <w:rPr>
          <w:rFonts w:cs="Open Sans"/>
        </w:rPr>
        <w:t xml:space="preserve">. </w:t>
      </w:r>
    </w:p>
    <w:p w14:paraId="69ABA5B3" w14:textId="1294BBBC" w:rsidR="00EA44D0" w:rsidRPr="007522F0" w:rsidRDefault="00DB6D74" w:rsidP="00EA44D0">
      <w:pPr>
        <w:pStyle w:val="BodyLQMS"/>
        <w:rPr>
          <w:rFonts w:cs="Open Sans"/>
        </w:rPr>
      </w:pPr>
      <w:r w:rsidRPr="007522F0">
        <w:rPr>
          <w:rFonts w:cs="Open Sans"/>
          <w:noProof/>
        </w:rPr>
        <w:t xml:space="preserve"> </w:t>
      </w:r>
      <w:r w:rsidR="00B74953" w:rsidRPr="007522F0">
        <w:rPr>
          <w:rFonts w:cs="Open Sans"/>
          <w:noProof/>
        </w:rPr>
        <w:drawing>
          <wp:inline distT="0" distB="0" distL="0" distR="0" wp14:anchorId="6EF2E912" wp14:editId="49C8B75E">
            <wp:extent cx="6120130" cy="31457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2A49F" w14:textId="659AE8A2" w:rsidR="00222AAC" w:rsidRPr="007522F0" w:rsidRDefault="00EA01B1" w:rsidP="00EA01B1">
      <w:pPr>
        <w:pStyle w:val="NumberLQMS"/>
        <w:numPr>
          <w:ilvl w:val="0"/>
          <w:numId w:val="0"/>
        </w:numPr>
        <w:ind w:left="360"/>
        <w:rPr>
          <w:rFonts w:cs="Open Sans"/>
        </w:rPr>
      </w:pPr>
      <w:r w:rsidRPr="007522F0">
        <w:rPr>
          <w:rFonts w:cs="Open Sans"/>
        </w:rPr>
        <w:t>Evidence from other registers in the organisation’s QMS, such as audits, identified risks and compliance tasks, will also be displayed on this page in separate expandable panels.</w:t>
      </w:r>
      <w:r w:rsidRPr="007522F0">
        <w:rPr>
          <w:rFonts w:cs="Open Sans"/>
        </w:rPr>
        <w:br/>
      </w:r>
    </w:p>
    <w:p w14:paraId="776179EA" w14:textId="718F090E" w:rsidR="007522F0" w:rsidRDefault="007522F0">
      <w:pPr>
        <w:widowControl/>
        <w:autoSpaceDE/>
        <w:autoSpaceDN/>
        <w:spacing w:after="160" w:line="259" w:lineRule="auto"/>
        <w:rPr>
          <w:rFonts w:ascii="Open Sans" w:eastAsiaTheme="majorEastAsia" w:hAnsi="Open Sans" w:cs="Open Sans"/>
          <w:sz w:val="32"/>
          <w:szCs w:val="32"/>
        </w:rPr>
      </w:pPr>
    </w:p>
    <w:p w14:paraId="25B0F82A" w14:textId="49D7D05E" w:rsidR="006B751E" w:rsidRPr="007522F0" w:rsidRDefault="00B74953" w:rsidP="00136C66">
      <w:pPr>
        <w:pStyle w:val="Heading1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t>Auditor</w:t>
      </w:r>
      <w:r w:rsidR="00D45354" w:rsidRPr="007522F0">
        <w:rPr>
          <w:rFonts w:ascii="Open Sans" w:hAnsi="Open Sans" w:cs="Open Sans"/>
        </w:rPr>
        <w:t xml:space="preserve"> training</w:t>
      </w:r>
    </w:p>
    <w:p w14:paraId="7A5F0614" w14:textId="7340B566" w:rsidR="00D45354" w:rsidRPr="007522F0" w:rsidRDefault="00D45354" w:rsidP="00D45354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A free </w:t>
      </w:r>
      <w:r w:rsidR="007522F0" w:rsidRPr="007522F0">
        <w:rPr>
          <w:rFonts w:cs="Open Sans"/>
        </w:rPr>
        <w:t>30-minute</w:t>
      </w:r>
      <w:r w:rsidRPr="007522F0">
        <w:rPr>
          <w:rFonts w:cs="Open Sans"/>
        </w:rPr>
        <w:t xml:space="preserve"> </w:t>
      </w:r>
      <w:r w:rsidR="00EA01B1" w:rsidRPr="007522F0">
        <w:rPr>
          <w:rFonts w:cs="Open Sans"/>
        </w:rPr>
        <w:t>Auditor</w:t>
      </w:r>
      <w:r w:rsidRPr="007522F0">
        <w:rPr>
          <w:rFonts w:cs="Open Sans"/>
        </w:rPr>
        <w:t xml:space="preserve"> training session is available by contacting </w:t>
      </w:r>
      <w:hyperlink r:id="rId16" w:history="1">
        <w:r w:rsidRPr="007522F0">
          <w:rPr>
            <w:rStyle w:val="Hyperlink"/>
            <w:rFonts w:cs="Open Sans"/>
          </w:rPr>
          <w:t>training@logiqc.com.au</w:t>
        </w:r>
      </w:hyperlink>
      <w:r w:rsidRPr="007522F0">
        <w:rPr>
          <w:rFonts w:cs="Open Sans"/>
        </w:rPr>
        <w:t xml:space="preserve"> </w:t>
      </w:r>
    </w:p>
    <w:p w14:paraId="692DA03A" w14:textId="77777777" w:rsidR="00A00173" w:rsidRPr="007522F0" w:rsidRDefault="00A00173" w:rsidP="00A00173">
      <w:pPr>
        <w:pStyle w:val="Heading1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t>Contact</w:t>
      </w:r>
    </w:p>
    <w:p w14:paraId="46BD753C" w14:textId="0518DE55" w:rsidR="00650827" w:rsidRPr="007522F0" w:rsidRDefault="00A00173" w:rsidP="00A00173">
      <w:pPr>
        <w:pStyle w:val="BodyLQMS"/>
        <w:rPr>
          <w:rFonts w:cs="Open Sans"/>
        </w:rPr>
      </w:pPr>
      <w:r w:rsidRPr="007522F0">
        <w:rPr>
          <w:rFonts w:cs="Open Sans"/>
        </w:rPr>
        <w:t xml:space="preserve">Any questions can be directed to </w:t>
      </w:r>
      <w:r w:rsidR="00F17B0A" w:rsidRPr="007522F0">
        <w:rPr>
          <w:rFonts w:cs="Open Sans"/>
        </w:rPr>
        <w:t>Elizabeth Church</w:t>
      </w:r>
      <w:r w:rsidRPr="007522F0">
        <w:rPr>
          <w:rFonts w:cs="Open Sans"/>
        </w:rPr>
        <w:t xml:space="preserve">, Customer Success Manager, at </w:t>
      </w:r>
      <w:hyperlink r:id="rId17" w:history="1"/>
      <w:hyperlink r:id="rId18" w:history="1">
        <w:r w:rsidR="00F17B0A" w:rsidRPr="007522F0">
          <w:rPr>
            <w:rStyle w:val="Hyperlink"/>
            <w:rFonts w:cs="Open Sans"/>
          </w:rPr>
          <w:t>elizabeth.church@logiqc.com.au</w:t>
        </w:r>
      </w:hyperlink>
      <w:r w:rsidR="00DB6D74" w:rsidRPr="007522F0">
        <w:rPr>
          <w:rFonts w:cs="Open Sans"/>
        </w:rPr>
        <w:t xml:space="preserve"> </w:t>
      </w:r>
      <w:r w:rsidRPr="007522F0">
        <w:rPr>
          <w:rFonts w:cs="Open Sans"/>
        </w:rPr>
        <w:t xml:space="preserve">or NZ toll free 0800 002 280  </w:t>
      </w:r>
    </w:p>
    <w:bookmarkEnd w:id="0"/>
    <w:p w14:paraId="7B8E854B" w14:textId="14FB319B" w:rsidR="00DD29EA" w:rsidRPr="007522F0" w:rsidRDefault="000132D4" w:rsidP="00CB56DA">
      <w:pPr>
        <w:widowControl/>
        <w:autoSpaceDE/>
        <w:autoSpaceDN/>
        <w:spacing w:after="160" w:line="259" w:lineRule="auto"/>
        <w:rPr>
          <w:rFonts w:ascii="Open Sans" w:hAnsi="Open Sans" w:cs="Open Sans"/>
        </w:rPr>
      </w:pPr>
      <w:r w:rsidRPr="007522F0">
        <w:rPr>
          <w:rFonts w:ascii="Open Sans" w:hAnsi="Open Sans" w:cs="Open Sans"/>
        </w:rPr>
        <w:br w:type="page"/>
      </w:r>
    </w:p>
    <w:p w14:paraId="64F2AA9C" w14:textId="77777777" w:rsidR="007226DE" w:rsidRPr="007522F0" w:rsidRDefault="007226DE" w:rsidP="00074A4C">
      <w:pPr>
        <w:pStyle w:val="BodyLQMS"/>
        <w:rPr>
          <w:rFonts w:cs="Open Sans"/>
        </w:rPr>
        <w:sectPr w:rsidR="007226DE" w:rsidRPr="007522F0" w:rsidSect="007226DE">
          <w:headerReference w:type="default" r:id="rId19"/>
          <w:footerReference w:type="default" r:id="rId20"/>
          <w:pgSz w:w="11906" w:h="16838"/>
          <w:pgMar w:top="1996" w:right="1134" w:bottom="1440" w:left="1134" w:header="709" w:footer="372" w:gutter="0"/>
          <w:cols w:space="708"/>
          <w:docGrid w:linePitch="360"/>
        </w:sectPr>
      </w:pPr>
    </w:p>
    <w:p w14:paraId="35FB7E5E" w14:textId="0C2BB9E3" w:rsidR="004632DB" w:rsidRPr="007522F0" w:rsidRDefault="004632DB" w:rsidP="00074A4C">
      <w:pPr>
        <w:pStyle w:val="BodyLQMS"/>
        <w:rPr>
          <w:rFonts w:cs="Open Sans"/>
        </w:rPr>
      </w:pPr>
    </w:p>
    <w:p w14:paraId="0486F5DC" w14:textId="4892BBD5" w:rsidR="004632DB" w:rsidRPr="007522F0" w:rsidRDefault="004632DB" w:rsidP="00074A4C">
      <w:pPr>
        <w:pStyle w:val="BodyLQMS"/>
        <w:rPr>
          <w:rFonts w:cs="Open Sans"/>
        </w:rPr>
      </w:pPr>
    </w:p>
    <w:p w14:paraId="403CBC16" w14:textId="75086C6F" w:rsidR="004632DB" w:rsidRPr="007522F0" w:rsidRDefault="004632DB" w:rsidP="00074A4C">
      <w:pPr>
        <w:pStyle w:val="BodyLQMS"/>
        <w:rPr>
          <w:rFonts w:cs="Open Sans"/>
        </w:rPr>
      </w:pPr>
    </w:p>
    <w:p w14:paraId="5F34D35C" w14:textId="089D6623" w:rsidR="004632DB" w:rsidRPr="007522F0" w:rsidRDefault="004632DB" w:rsidP="00074A4C">
      <w:pPr>
        <w:pStyle w:val="BodyLQMS"/>
        <w:rPr>
          <w:rFonts w:cs="Open Sans"/>
        </w:rPr>
      </w:pPr>
    </w:p>
    <w:p w14:paraId="19640DE8" w14:textId="2E7631CF" w:rsidR="004632DB" w:rsidRPr="007522F0" w:rsidRDefault="004632DB" w:rsidP="00074A4C">
      <w:pPr>
        <w:pStyle w:val="BodyLQMS"/>
        <w:rPr>
          <w:rFonts w:cs="Open Sans"/>
        </w:rPr>
      </w:pPr>
    </w:p>
    <w:p w14:paraId="07619257" w14:textId="4537D9AA" w:rsidR="004632DB" w:rsidRPr="007522F0" w:rsidRDefault="004632DB" w:rsidP="00074A4C">
      <w:pPr>
        <w:pStyle w:val="BodyLQMS"/>
        <w:rPr>
          <w:rFonts w:cs="Open Sans"/>
        </w:rPr>
      </w:pPr>
    </w:p>
    <w:p w14:paraId="0AA6223B" w14:textId="227BF240" w:rsidR="004632DB" w:rsidRPr="007522F0" w:rsidRDefault="004632DB" w:rsidP="00074A4C">
      <w:pPr>
        <w:pStyle w:val="BodyLQMS"/>
        <w:rPr>
          <w:rFonts w:cs="Open Sans"/>
        </w:rPr>
      </w:pPr>
    </w:p>
    <w:p w14:paraId="0809394D" w14:textId="64E7ED5A" w:rsidR="004632DB" w:rsidRPr="007522F0" w:rsidRDefault="004632DB" w:rsidP="00074A4C">
      <w:pPr>
        <w:pStyle w:val="BodyLQMS"/>
        <w:rPr>
          <w:rFonts w:cs="Open Sans"/>
        </w:rPr>
      </w:pPr>
    </w:p>
    <w:p w14:paraId="3089803F" w14:textId="2609AF9B" w:rsidR="004632DB" w:rsidRPr="007522F0" w:rsidRDefault="004632DB" w:rsidP="00074A4C">
      <w:pPr>
        <w:pStyle w:val="BodyLQMS"/>
        <w:rPr>
          <w:rFonts w:cs="Open Sans"/>
        </w:rPr>
      </w:pPr>
    </w:p>
    <w:p w14:paraId="5CA2820F" w14:textId="61644E7E" w:rsidR="004632DB" w:rsidRPr="007522F0" w:rsidRDefault="004632DB" w:rsidP="00074A4C">
      <w:pPr>
        <w:pStyle w:val="BodyLQMS"/>
        <w:rPr>
          <w:rFonts w:cs="Open Sans"/>
        </w:rPr>
      </w:pPr>
    </w:p>
    <w:p w14:paraId="602417D4" w14:textId="63B31AF9" w:rsidR="004632DB" w:rsidRPr="007522F0" w:rsidRDefault="004632DB" w:rsidP="00074A4C">
      <w:pPr>
        <w:pStyle w:val="BodyLQMS"/>
        <w:rPr>
          <w:rFonts w:cs="Open Sans"/>
        </w:rPr>
      </w:pPr>
    </w:p>
    <w:p w14:paraId="691E9F11" w14:textId="56C93C7F" w:rsidR="004632DB" w:rsidRPr="007522F0" w:rsidRDefault="004632DB" w:rsidP="00074A4C">
      <w:pPr>
        <w:pStyle w:val="BodyLQMS"/>
        <w:rPr>
          <w:rFonts w:cs="Open Sans"/>
        </w:rPr>
      </w:pPr>
    </w:p>
    <w:p w14:paraId="0122AE81" w14:textId="2A8D4097" w:rsidR="004632DB" w:rsidRPr="007522F0" w:rsidRDefault="004632DB" w:rsidP="00074A4C">
      <w:pPr>
        <w:pStyle w:val="BodyLQMS"/>
        <w:rPr>
          <w:rFonts w:cs="Open Sans"/>
        </w:rPr>
      </w:pPr>
    </w:p>
    <w:p w14:paraId="0E38465A" w14:textId="0B398B80" w:rsidR="004632DB" w:rsidRPr="007522F0" w:rsidRDefault="004632DB" w:rsidP="00074A4C">
      <w:pPr>
        <w:pStyle w:val="BodyLQMS"/>
        <w:rPr>
          <w:rFonts w:cs="Open Sans"/>
        </w:rPr>
      </w:pPr>
    </w:p>
    <w:p w14:paraId="481ABE11" w14:textId="44FA7A8D" w:rsidR="004632DB" w:rsidRPr="007522F0" w:rsidRDefault="004632DB" w:rsidP="00074A4C">
      <w:pPr>
        <w:pStyle w:val="BodyLQMS"/>
        <w:rPr>
          <w:rFonts w:cs="Open Sans"/>
        </w:rPr>
      </w:pPr>
    </w:p>
    <w:p w14:paraId="583C4E09" w14:textId="1C8A8ECE" w:rsidR="004632DB" w:rsidRPr="007522F0" w:rsidRDefault="004632DB" w:rsidP="00074A4C">
      <w:pPr>
        <w:pStyle w:val="BodyLQMS"/>
        <w:rPr>
          <w:rFonts w:cs="Open Sans"/>
        </w:rPr>
      </w:pPr>
    </w:p>
    <w:p w14:paraId="0A953F05" w14:textId="1A9F4F8D" w:rsidR="004632DB" w:rsidRPr="007522F0" w:rsidRDefault="004632DB" w:rsidP="00074A4C">
      <w:pPr>
        <w:pStyle w:val="BodyLQMS"/>
        <w:rPr>
          <w:rFonts w:cs="Open Sans"/>
        </w:rPr>
      </w:pPr>
    </w:p>
    <w:p w14:paraId="6CBB988E" w14:textId="77777777" w:rsidR="004632DB" w:rsidRPr="007522F0" w:rsidRDefault="004632DB" w:rsidP="00074A4C">
      <w:pPr>
        <w:pStyle w:val="BodyLQMS"/>
        <w:rPr>
          <w:rFonts w:cs="Open Sans"/>
        </w:rPr>
      </w:pPr>
    </w:p>
    <w:p w14:paraId="3933D5E7" w14:textId="77777777" w:rsidR="004632DB" w:rsidRPr="007522F0" w:rsidRDefault="004632DB" w:rsidP="00074A4C">
      <w:pPr>
        <w:pStyle w:val="BodyLQMS"/>
        <w:rPr>
          <w:rFonts w:cs="Open Sans"/>
        </w:rPr>
      </w:pPr>
    </w:p>
    <w:p w14:paraId="2180EB2F" w14:textId="39A974AF" w:rsidR="004632DB" w:rsidRPr="007522F0" w:rsidRDefault="00A61C37" w:rsidP="00074A4C">
      <w:pPr>
        <w:pStyle w:val="BodyLQMS"/>
        <w:rPr>
          <w:rFonts w:cs="Open Sans"/>
        </w:rPr>
      </w:pPr>
      <w:r w:rsidRPr="007522F0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4AE1311" wp14:editId="254BC6ED">
                <wp:simplePos x="0" y="0"/>
                <wp:positionH relativeFrom="column">
                  <wp:posOffset>-145932</wp:posOffset>
                </wp:positionH>
                <wp:positionV relativeFrom="page">
                  <wp:posOffset>4788535</wp:posOffset>
                </wp:positionV>
                <wp:extent cx="6379200" cy="2062800"/>
                <wp:effectExtent l="0" t="0" r="3175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00" cy="20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F021E" w14:textId="21B1216D" w:rsidR="007F7BE8" w:rsidRDefault="00A00173" w:rsidP="00E94EDA">
                            <w:pPr>
                              <w:pStyle w:val="BodyLQMS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59016" wp14:editId="444587D0">
                                  <wp:extent cx="876682" cy="476250"/>
                                  <wp:effectExtent l="0" t="0" r="0" b="0"/>
                                  <wp:docPr id="6" name="Picture 6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Logiqc_CMYK.jpg"/>
                                          <pic:cNvPicPr/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05" r="42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199" cy="487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8114D5" w14:textId="61CF23D3" w:rsidR="007F7BE8" w:rsidRDefault="007F7BE8" w:rsidP="00E94EDA">
                            <w:pPr>
                              <w:pStyle w:val="BodyLQMS"/>
                              <w:jc w:val="center"/>
                            </w:pPr>
                            <w:r>
                              <w:t>PO Box 483, Paddington, Qld, Australia 4064</w:t>
                            </w:r>
                            <w:r>
                              <w:br/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AU</w:t>
                            </w:r>
                            <w:r>
                              <w:t xml:space="preserve"> +617 3216 0335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NZ</w:t>
                            </w:r>
                            <w:r>
                              <w:t xml:space="preserve"> 0800 002 280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E:</w:t>
                            </w:r>
                            <w:r>
                              <w:t xml:space="preserve"> info@Logiqc.com.au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W:</w:t>
                            </w:r>
                            <w:r>
                              <w:t xml:space="preserve"> Logiqc.com.au</w:t>
                            </w:r>
                          </w:p>
                          <w:p w14:paraId="7F5CC5D2" w14:textId="77777777" w:rsidR="007F7BE8" w:rsidRDefault="007F7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1311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11.5pt;margin-top:377.05pt;width:502.3pt;height:1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" fillcolor="white [3201]" stroked="f" strokeweight=".5pt">
                <v:textbox>
                  <w:txbxContent>
                    <w:p w14:paraId="4E7F021E" w14:textId="21B1216D" w:rsidR="007F7BE8" w:rsidRDefault="00A00173" w:rsidP="00E94EDA">
                      <w:pPr>
                        <w:pStyle w:val="BodyLQMS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159016" wp14:editId="444587D0">
                            <wp:extent cx="876682" cy="476250"/>
                            <wp:effectExtent l="0" t="0" r="0" b="0"/>
                            <wp:docPr id="6" name="Picture 6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Logiqc_CMYK.jpg"/>
                                    <pic:cNvPicPr/>
                                  </pic:nvPicPr>
                                  <pic:blipFill rotWithShape="1"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05" r="42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8199" cy="4879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8114D5" w14:textId="61CF23D3" w:rsidR="007F7BE8" w:rsidRDefault="007F7BE8" w:rsidP="00E94EDA">
                      <w:pPr>
                        <w:pStyle w:val="BodyLQMS"/>
                        <w:jc w:val="center"/>
                      </w:pPr>
                      <w:r>
                        <w:t>PO Box 483, Paddington, Qld, Australia 4064</w:t>
                      </w:r>
                      <w:r>
                        <w:br/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AU</w:t>
                      </w:r>
                      <w:r>
                        <w:t xml:space="preserve"> +617 3216 0335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NZ</w:t>
                      </w:r>
                      <w:r>
                        <w:t xml:space="preserve"> 0800 002 280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E:</w:t>
                      </w:r>
                      <w:r>
                        <w:t xml:space="preserve"> info@Logiqc.com.au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W:</w:t>
                      </w:r>
                      <w:r>
                        <w:t xml:space="preserve"> Logiqc.com.au</w:t>
                      </w:r>
                    </w:p>
                    <w:p w14:paraId="7F5CC5D2" w14:textId="77777777" w:rsidR="007F7BE8" w:rsidRDefault="007F7BE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632DB" w:rsidRPr="007522F0" w:rsidSect="007226DE">
      <w:headerReference w:type="default" r:id="rId27"/>
      <w:footerReference w:type="default" r:id="rId28"/>
      <w:pgSz w:w="11906" w:h="16838"/>
      <w:pgMar w:top="1996" w:right="1134" w:bottom="1440" w:left="1134" w:header="709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6683" w14:textId="77777777" w:rsidR="009440DA" w:rsidRDefault="009440DA" w:rsidP="0030381B">
      <w:r>
        <w:separator/>
      </w:r>
    </w:p>
  </w:endnote>
  <w:endnote w:type="continuationSeparator" w:id="0">
    <w:p w14:paraId="456AE1D6" w14:textId="77777777" w:rsidR="009440DA" w:rsidRDefault="009440DA" w:rsidP="003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grum Medi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E6AB63A2-7693-427C-83CA-228F9771C6C8}"/>
    <w:embedBold r:id="rId2" w:fontKey="{51CA1116-E70D-40F9-8D3C-883CDE4039A7}"/>
    <w:embedItalic r:id="rId3" w:fontKey="{8829D7C3-DA3F-4FF9-A8C3-E7960C7E8A88}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  <w:embedRegular r:id="rId4" w:subsetted="1" w:fontKey="{05AB176F-4CD7-4BB1-A9A9-719B10483458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A21E" w14:textId="71E79384" w:rsidR="007522F0" w:rsidRPr="00752E59" w:rsidRDefault="007522F0" w:rsidP="005D7B92">
    <w:pPr>
      <w:pStyle w:val="Footer"/>
      <w:tabs>
        <w:tab w:val="clear" w:pos="9026"/>
        <w:tab w:val="right" w:pos="9638"/>
      </w:tabs>
      <w:rPr>
        <w:szCs w:val="16"/>
      </w:rPr>
    </w:pPr>
    <w:r w:rsidRPr="00752E59">
      <w:rPr>
        <w:noProof/>
        <w:szCs w:val="16"/>
      </w:rPr>
      <w:fldChar w:fldCharType="begin"/>
    </w:r>
    <w:r w:rsidRPr="00752E59">
      <w:rPr>
        <w:noProof/>
        <w:szCs w:val="16"/>
      </w:rPr>
      <w:instrText xml:space="preserve"> FILENAME   \* MERGEFORMAT </w:instrText>
    </w:r>
    <w:r w:rsidRPr="00752E59">
      <w:rPr>
        <w:noProof/>
        <w:szCs w:val="16"/>
      </w:rPr>
      <w:fldChar w:fldCharType="separate"/>
    </w:r>
    <w:r w:rsidR="00AF1DC5">
      <w:rPr>
        <w:noProof/>
        <w:szCs w:val="16"/>
      </w:rPr>
      <w:t>doc_628_LogiqcQMS External Auditor's Manual_v8</w:t>
    </w:r>
    <w:r w:rsidRPr="00752E59">
      <w:rPr>
        <w:noProof/>
        <w:szCs w:val="16"/>
      </w:rPr>
      <w:fldChar w:fldCharType="end"/>
    </w:r>
    <w:r w:rsidRPr="00752E59">
      <w:rPr>
        <w:szCs w:val="16"/>
      </w:rPr>
      <w:tab/>
    </w:r>
  </w:p>
  <w:p w14:paraId="745371A4" w14:textId="41E37653" w:rsidR="007F7BE8" w:rsidRPr="007522F0" w:rsidRDefault="007522F0" w:rsidP="007522F0">
    <w:pPr>
      <w:pStyle w:val="Footer"/>
      <w:tabs>
        <w:tab w:val="clear" w:pos="9026"/>
        <w:tab w:val="right" w:pos="9638"/>
      </w:tabs>
      <w:rPr>
        <w:szCs w:val="16"/>
      </w:rPr>
    </w:pPr>
    <w:r w:rsidRPr="00752E59">
      <w:rPr>
        <w:szCs w:val="16"/>
      </w:rPr>
      <w:t xml:space="preserve">© This document is the property of Logiqc Pty Ltd. Once printed this document is considered an uncontrolled version. </w:t>
    </w:r>
    <w:r w:rsidRPr="00752E59">
      <w:rPr>
        <w:szCs w:val="16"/>
      </w:rPr>
      <w:br/>
      <w:t>Refer to the LogiqcQMS for the current approved version.</w:t>
    </w:r>
    <w:r>
      <w:rPr>
        <w:szCs w:val="16"/>
      </w:rPr>
      <w:tab/>
    </w:r>
    <w:r>
      <w:rPr>
        <w:szCs w:val="16"/>
      </w:rPr>
      <w:tab/>
    </w:r>
    <w:r w:rsidRPr="00752E59">
      <w:rPr>
        <w:szCs w:val="16"/>
      </w:rPr>
      <w:t xml:space="preserve">Page </w:t>
    </w:r>
    <w:r w:rsidRPr="00752E59">
      <w:rPr>
        <w:szCs w:val="16"/>
      </w:rPr>
      <w:fldChar w:fldCharType="begin"/>
    </w:r>
    <w:r w:rsidRPr="00752E59">
      <w:rPr>
        <w:szCs w:val="16"/>
      </w:rPr>
      <w:instrText xml:space="preserve"> PAGE </w:instrText>
    </w:r>
    <w:r w:rsidRPr="00752E59">
      <w:rPr>
        <w:szCs w:val="16"/>
      </w:rPr>
      <w:fldChar w:fldCharType="separate"/>
    </w:r>
    <w:r>
      <w:rPr>
        <w:szCs w:val="16"/>
      </w:rPr>
      <w:t>2</w:t>
    </w:r>
    <w:r w:rsidRPr="00752E59">
      <w:rPr>
        <w:szCs w:val="16"/>
      </w:rPr>
      <w:fldChar w:fldCharType="end"/>
    </w:r>
    <w:r w:rsidRPr="00752E59">
      <w:rPr>
        <w:szCs w:val="16"/>
      </w:rPr>
      <w:t xml:space="preserve"> of </w:t>
    </w:r>
    <w:r w:rsidRPr="00752E59">
      <w:rPr>
        <w:szCs w:val="16"/>
      </w:rPr>
      <w:fldChar w:fldCharType="begin"/>
    </w:r>
    <w:r w:rsidRPr="00752E59">
      <w:rPr>
        <w:szCs w:val="16"/>
      </w:rPr>
      <w:instrText xml:space="preserve"> NUMPAGES  </w:instrText>
    </w:r>
    <w:r w:rsidRPr="00752E59">
      <w:rPr>
        <w:szCs w:val="16"/>
      </w:rPr>
      <w:fldChar w:fldCharType="separate"/>
    </w:r>
    <w:r>
      <w:rPr>
        <w:szCs w:val="16"/>
      </w:rPr>
      <w:t>45</w:t>
    </w:r>
    <w:r w:rsidRPr="00752E59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FCBE" w14:textId="3C419701" w:rsidR="007F7BE8" w:rsidRDefault="007F7BE8" w:rsidP="007226DE">
    <w:pPr>
      <w:pStyle w:val="Footer"/>
    </w:pPr>
  </w:p>
  <w:p w14:paraId="6772B533" w14:textId="7C66AE3C" w:rsidR="007F7BE8" w:rsidRPr="007226DE" w:rsidRDefault="007F7BE8" w:rsidP="007226DE">
    <w:pPr>
      <w:jc w:val="center"/>
      <w:rPr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3445" w14:textId="77777777" w:rsidR="009440DA" w:rsidRDefault="009440DA" w:rsidP="0030381B">
      <w:r>
        <w:separator/>
      </w:r>
    </w:p>
  </w:footnote>
  <w:footnote w:type="continuationSeparator" w:id="0">
    <w:p w14:paraId="51DA170D" w14:textId="77777777" w:rsidR="009440DA" w:rsidRDefault="009440DA" w:rsidP="0030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0659" w14:textId="23C8E017" w:rsidR="009E14C7" w:rsidRDefault="009E14C7">
    <w:pPr>
      <w:pStyle w:val="Head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6C4988E7" wp14:editId="657D934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38452" cy="10668000"/>
          <wp:effectExtent l="0" t="0" r="5715" b="0"/>
          <wp:wrapNone/>
          <wp:docPr id="4" name="Picture 4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5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718B" w14:textId="77777777" w:rsidR="007522F0" w:rsidRDefault="007522F0" w:rsidP="00F25755">
    <w:pPr>
      <w:pStyle w:val="Footer"/>
      <w:tabs>
        <w:tab w:val="clear" w:pos="9026"/>
        <w:tab w:val="right" w:pos="9638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6995BBC4" wp14:editId="30514C3C">
          <wp:simplePos x="0" y="0"/>
          <wp:positionH relativeFrom="margin">
            <wp:posOffset>-95250</wp:posOffset>
          </wp:positionH>
          <wp:positionV relativeFrom="paragraph">
            <wp:posOffset>-635</wp:posOffset>
          </wp:positionV>
          <wp:extent cx="1943100" cy="400225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97" b="63084"/>
                  <a:stretch/>
                </pic:blipFill>
                <pic:spPr bwMode="auto">
                  <a:xfrm>
                    <a:off x="0" y="0"/>
                    <a:ext cx="1943100" cy="4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9E021" w14:textId="77777777" w:rsidR="007522F0" w:rsidRDefault="007522F0" w:rsidP="00F25755">
    <w:pPr>
      <w:pStyle w:val="Footer"/>
      <w:tabs>
        <w:tab w:val="clear" w:pos="9026"/>
        <w:tab w:val="right" w:pos="9638"/>
      </w:tabs>
      <w:rPr>
        <w:sz w:val="20"/>
        <w:szCs w:val="20"/>
      </w:rPr>
    </w:pPr>
  </w:p>
  <w:p w14:paraId="6E780490" w14:textId="77777777" w:rsidR="007522F0" w:rsidRDefault="007522F0" w:rsidP="00F25755">
    <w:pPr>
      <w:pStyle w:val="Footer"/>
      <w:tabs>
        <w:tab w:val="clear" w:pos="9026"/>
        <w:tab w:val="right" w:pos="9638"/>
      </w:tabs>
      <w:rPr>
        <w:sz w:val="20"/>
        <w:szCs w:val="20"/>
      </w:rPr>
    </w:pPr>
  </w:p>
  <w:p w14:paraId="0D53F975" w14:textId="23ACB2BC" w:rsidR="007522F0" w:rsidRPr="007522F0" w:rsidRDefault="00000000" w:rsidP="00F25755">
    <w:pPr>
      <w:pStyle w:val="Footer"/>
      <w:tabs>
        <w:tab w:val="clear" w:pos="9026"/>
        <w:tab w:val="right" w:pos="9638"/>
      </w:tabs>
      <w:rPr>
        <w:rFonts w:ascii="Open Sans" w:hAnsi="Open Sans" w:cs="Open Sans"/>
        <w:sz w:val="20"/>
        <w:szCs w:val="20"/>
      </w:rPr>
    </w:pPr>
    <w:sdt>
      <w:sdtPr>
        <w:rPr>
          <w:rFonts w:ascii="Open Sans" w:hAnsi="Open Sans" w:cs="Open Sans"/>
          <w:b/>
          <w:bCs/>
          <w:sz w:val="20"/>
          <w:szCs w:val="20"/>
        </w:rPr>
        <w:alias w:val="Subject"/>
        <w:tag w:val=""/>
        <w:id w:val="-191916556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522F0" w:rsidRPr="007522F0">
          <w:rPr>
            <w:rFonts w:ascii="Open Sans" w:hAnsi="Open Sans" w:cs="Open Sans"/>
            <w:b/>
            <w:bCs/>
            <w:sz w:val="20"/>
            <w:szCs w:val="20"/>
          </w:rPr>
          <w:t>External Auditor’s Manual for the LogiqcQMS v7 Platform</w:t>
        </w:r>
      </w:sdtContent>
    </w:sdt>
    <w:r w:rsidR="007522F0" w:rsidRPr="007522F0">
      <w:rPr>
        <w:rFonts w:ascii="Open Sans" w:hAnsi="Open Sans" w:cs="Open Sans"/>
        <w:sz w:val="20"/>
        <w:szCs w:val="20"/>
      </w:rPr>
      <w:tab/>
    </w:r>
    <w:r w:rsidR="007522F0" w:rsidRPr="007522F0">
      <w:rPr>
        <w:rFonts w:ascii="Open Sans" w:hAnsi="Open Sans" w:cs="Open Sans"/>
        <w:sz w:val="20"/>
        <w:szCs w:val="20"/>
      </w:rPr>
      <w:tab/>
    </w:r>
    <w:r w:rsidR="007522F0" w:rsidRPr="007522F0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78720" behindDoc="0" locked="1" layoutInCell="1" allowOverlap="1" wp14:anchorId="39E66134" wp14:editId="562BE5B3">
          <wp:simplePos x="0" y="0"/>
          <wp:positionH relativeFrom="rightMargin">
            <wp:posOffset>-1576705</wp:posOffset>
          </wp:positionH>
          <wp:positionV relativeFrom="page">
            <wp:posOffset>106680</wp:posOffset>
          </wp:positionV>
          <wp:extent cx="3086100" cy="495300"/>
          <wp:effectExtent l="0" t="0" r="0" b="0"/>
          <wp:wrapNone/>
          <wp:docPr id="13" name="Picture 1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Ic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36046" r="-24616" b="71857"/>
                  <a:stretch/>
                </pic:blipFill>
                <pic:spPr bwMode="auto">
                  <a:xfrm>
                    <a:off x="0" y="0"/>
                    <a:ext cx="30861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AA8E1" w14:textId="6A98435F" w:rsidR="007F7BE8" w:rsidRPr="00F26108" w:rsidRDefault="007F7BE8" w:rsidP="000E50F3">
    <w:pPr>
      <w:pStyle w:val="Footer"/>
      <w:tabs>
        <w:tab w:val="clear" w:pos="9026"/>
        <w:tab w:val="right" w:pos="9638"/>
      </w:tabs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1F5F" w14:textId="2E66F3A6" w:rsidR="007F7BE8" w:rsidRPr="00AB7560" w:rsidRDefault="007F7BE8" w:rsidP="00AB7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167"/>
    <w:multiLevelType w:val="hybridMultilevel"/>
    <w:tmpl w:val="5A5CD05A"/>
    <w:lvl w:ilvl="0" w:tplc="C0005770">
      <w:start w:val="1"/>
      <w:numFmt w:val="bullet"/>
      <w:pStyle w:val="BulletLQMS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C3B67"/>
    <w:multiLevelType w:val="hybridMultilevel"/>
    <w:tmpl w:val="DB62FE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701"/>
    <w:multiLevelType w:val="hybridMultilevel"/>
    <w:tmpl w:val="9CD40C3E"/>
    <w:lvl w:ilvl="0" w:tplc="0B424B5C">
      <w:start w:val="1"/>
      <w:numFmt w:val="decimal"/>
      <w:pStyle w:val="NumberLQMS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740D6"/>
    <w:multiLevelType w:val="hybridMultilevel"/>
    <w:tmpl w:val="099ABF24"/>
    <w:lvl w:ilvl="0" w:tplc="527CE1DA">
      <w:numFmt w:val="bullet"/>
      <w:lvlText w:val="-"/>
      <w:lvlJc w:val="left"/>
      <w:pPr>
        <w:ind w:left="720" w:hanging="360"/>
      </w:pPr>
      <w:rPr>
        <w:rFonts w:ascii="Wigrum" w:eastAsia="Times New Roman" w:hAnsi="Wigrum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02FD"/>
    <w:multiLevelType w:val="hybridMultilevel"/>
    <w:tmpl w:val="5C50056E"/>
    <w:lvl w:ilvl="0" w:tplc="4FB06238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5796">
    <w:abstractNumId w:val="0"/>
  </w:num>
  <w:num w:numId="2" w16cid:durableId="287517182">
    <w:abstractNumId w:val="2"/>
  </w:num>
  <w:num w:numId="3" w16cid:durableId="681706793">
    <w:abstractNumId w:val="2"/>
    <w:lvlOverride w:ilvl="0">
      <w:startOverride w:val="1"/>
    </w:lvlOverride>
  </w:num>
  <w:num w:numId="4" w16cid:durableId="181478227">
    <w:abstractNumId w:val="2"/>
    <w:lvlOverride w:ilvl="0">
      <w:startOverride w:val="1"/>
    </w:lvlOverride>
  </w:num>
  <w:num w:numId="5" w16cid:durableId="133455622">
    <w:abstractNumId w:val="2"/>
    <w:lvlOverride w:ilvl="0">
      <w:startOverride w:val="1"/>
    </w:lvlOverride>
  </w:num>
  <w:num w:numId="6" w16cid:durableId="918094603">
    <w:abstractNumId w:val="2"/>
    <w:lvlOverride w:ilvl="0">
      <w:startOverride w:val="1"/>
    </w:lvlOverride>
  </w:num>
  <w:num w:numId="7" w16cid:durableId="1339231851">
    <w:abstractNumId w:val="2"/>
    <w:lvlOverride w:ilvl="0">
      <w:startOverride w:val="1"/>
    </w:lvlOverride>
  </w:num>
  <w:num w:numId="8" w16cid:durableId="613438985">
    <w:abstractNumId w:val="2"/>
    <w:lvlOverride w:ilvl="0">
      <w:startOverride w:val="1"/>
    </w:lvlOverride>
  </w:num>
  <w:num w:numId="9" w16cid:durableId="310839817">
    <w:abstractNumId w:val="2"/>
    <w:lvlOverride w:ilvl="0">
      <w:startOverride w:val="1"/>
    </w:lvlOverride>
  </w:num>
  <w:num w:numId="10" w16cid:durableId="517502900">
    <w:abstractNumId w:val="2"/>
    <w:lvlOverride w:ilvl="0">
      <w:startOverride w:val="1"/>
    </w:lvlOverride>
  </w:num>
  <w:num w:numId="11" w16cid:durableId="360588361">
    <w:abstractNumId w:val="2"/>
    <w:lvlOverride w:ilvl="0">
      <w:startOverride w:val="1"/>
    </w:lvlOverride>
  </w:num>
  <w:num w:numId="12" w16cid:durableId="1358045192">
    <w:abstractNumId w:val="2"/>
    <w:lvlOverride w:ilvl="0">
      <w:startOverride w:val="1"/>
    </w:lvlOverride>
  </w:num>
  <w:num w:numId="13" w16cid:durableId="1022165459">
    <w:abstractNumId w:val="2"/>
    <w:lvlOverride w:ilvl="0">
      <w:startOverride w:val="1"/>
    </w:lvlOverride>
  </w:num>
  <w:num w:numId="14" w16cid:durableId="1017195099">
    <w:abstractNumId w:val="2"/>
    <w:lvlOverride w:ilvl="0">
      <w:startOverride w:val="1"/>
    </w:lvlOverride>
  </w:num>
  <w:num w:numId="15" w16cid:durableId="1818643069">
    <w:abstractNumId w:val="2"/>
    <w:lvlOverride w:ilvl="0">
      <w:startOverride w:val="1"/>
    </w:lvlOverride>
  </w:num>
  <w:num w:numId="16" w16cid:durableId="1117258878">
    <w:abstractNumId w:val="2"/>
    <w:lvlOverride w:ilvl="0">
      <w:startOverride w:val="1"/>
    </w:lvlOverride>
  </w:num>
  <w:num w:numId="17" w16cid:durableId="1476872524">
    <w:abstractNumId w:val="2"/>
    <w:lvlOverride w:ilvl="0">
      <w:startOverride w:val="1"/>
    </w:lvlOverride>
  </w:num>
  <w:num w:numId="18" w16cid:durableId="1995600572">
    <w:abstractNumId w:val="2"/>
    <w:lvlOverride w:ilvl="0">
      <w:startOverride w:val="1"/>
    </w:lvlOverride>
  </w:num>
  <w:num w:numId="19" w16cid:durableId="282619085">
    <w:abstractNumId w:val="2"/>
    <w:lvlOverride w:ilvl="0">
      <w:startOverride w:val="1"/>
    </w:lvlOverride>
  </w:num>
  <w:num w:numId="20" w16cid:durableId="2027630113">
    <w:abstractNumId w:val="2"/>
    <w:lvlOverride w:ilvl="0">
      <w:startOverride w:val="1"/>
    </w:lvlOverride>
  </w:num>
  <w:num w:numId="21" w16cid:durableId="1542981779">
    <w:abstractNumId w:val="2"/>
    <w:lvlOverride w:ilvl="0">
      <w:startOverride w:val="1"/>
    </w:lvlOverride>
  </w:num>
  <w:num w:numId="22" w16cid:durableId="1805343205">
    <w:abstractNumId w:val="3"/>
  </w:num>
  <w:num w:numId="23" w16cid:durableId="173231370">
    <w:abstractNumId w:val="2"/>
    <w:lvlOverride w:ilvl="0">
      <w:startOverride w:val="1"/>
    </w:lvlOverride>
  </w:num>
  <w:num w:numId="24" w16cid:durableId="1369835687">
    <w:abstractNumId w:val="2"/>
    <w:lvlOverride w:ilvl="0">
      <w:startOverride w:val="1"/>
    </w:lvlOverride>
  </w:num>
  <w:num w:numId="25" w16cid:durableId="1040283966">
    <w:abstractNumId w:val="2"/>
    <w:lvlOverride w:ilvl="0">
      <w:startOverride w:val="1"/>
    </w:lvlOverride>
  </w:num>
  <w:num w:numId="26" w16cid:durableId="1429233136">
    <w:abstractNumId w:val="2"/>
    <w:lvlOverride w:ilvl="0">
      <w:startOverride w:val="1"/>
    </w:lvlOverride>
  </w:num>
  <w:num w:numId="27" w16cid:durableId="260987513">
    <w:abstractNumId w:val="2"/>
    <w:lvlOverride w:ilvl="0">
      <w:startOverride w:val="1"/>
    </w:lvlOverride>
  </w:num>
  <w:num w:numId="28" w16cid:durableId="924144668">
    <w:abstractNumId w:val="1"/>
  </w:num>
  <w:num w:numId="29" w16cid:durableId="1917086619">
    <w:abstractNumId w:val="2"/>
    <w:lvlOverride w:ilvl="0">
      <w:startOverride w:val="1"/>
    </w:lvlOverride>
  </w:num>
  <w:num w:numId="30" w16cid:durableId="600071872">
    <w:abstractNumId w:val="2"/>
    <w:lvlOverride w:ilvl="0">
      <w:startOverride w:val="1"/>
    </w:lvlOverride>
  </w:num>
  <w:num w:numId="31" w16cid:durableId="1416366037">
    <w:abstractNumId w:val="2"/>
  </w:num>
  <w:num w:numId="32" w16cid:durableId="530345433">
    <w:abstractNumId w:val="2"/>
  </w:num>
  <w:num w:numId="33" w16cid:durableId="1153258538">
    <w:abstractNumId w:val="2"/>
    <w:lvlOverride w:ilvl="0">
      <w:startOverride w:val="1"/>
    </w:lvlOverride>
  </w:num>
  <w:num w:numId="34" w16cid:durableId="1438330832">
    <w:abstractNumId w:val="2"/>
    <w:lvlOverride w:ilvl="0">
      <w:startOverride w:val="1"/>
    </w:lvlOverride>
  </w:num>
  <w:num w:numId="35" w16cid:durableId="425082536">
    <w:abstractNumId w:val="2"/>
    <w:lvlOverride w:ilvl="0">
      <w:startOverride w:val="1"/>
    </w:lvlOverride>
  </w:num>
  <w:num w:numId="36" w16cid:durableId="609511165">
    <w:abstractNumId w:val="2"/>
    <w:lvlOverride w:ilvl="0">
      <w:startOverride w:val="1"/>
    </w:lvlOverride>
  </w:num>
  <w:num w:numId="37" w16cid:durableId="1814252469">
    <w:abstractNumId w:val="2"/>
    <w:lvlOverride w:ilvl="0">
      <w:startOverride w:val="1"/>
    </w:lvlOverride>
  </w:num>
  <w:num w:numId="38" w16cid:durableId="1600529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1B"/>
    <w:rsid w:val="000132D4"/>
    <w:rsid w:val="0003572D"/>
    <w:rsid w:val="00056DCB"/>
    <w:rsid w:val="0006032B"/>
    <w:rsid w:val="000642BB"/>
    <w:rsid w:val="00074084"/>
    <w:rsid w:val="00074A4C"/>
    <w:rsid w:val="000A1554"/>
    <w:rsid w:val="000B14A1"/>
    <w:rsid w:val="000B2850"/>
    <w:rsid w:val="000B7B9A"/>
    <w:rsid w:val="000C0022"/>
    <w:rsid w:val="000D5681"/>
    <w:rsid w:val="000E1AB3"/>
    <w:rsid w:val="000E50F3"/>
    <w:rsid w:val="000E7CC8"/>
    <w:rsid w:val="000F1AD7"/>
    <w:rsid w:val="00101039"/>
    <w:rsid w:val="001019B3"/>
    <w:rsid w:val="00101B68"/>
    <w:rsid w:val="0010696F"/>
    <w:rsid w:val="00115245"/>
    <w:rsid w:val="00117AA5"/>
    <w:rsid w:val="001325DB"/>
    <w:rsid w:val="00136C66"/>
    <w:rsid w:val="00145E78"/>
    <w:rsid w:val="0015741C"/>
    <w:rsid w:val="0016728C"/>
    <w:rsid w:val="00177C82"/>
    <w:rsid w:val="00185D29"/>
    <w:rsid w:val="00187D55"/>
    <w:rsid w:val="001A13F4"/>
    <w:rsid w:val="001B16AC"/>
    <w:rsid w:val="001B3139"/>
    <w:rsid w:val="001B5FF4"/>
    <w:rsid w:val="001C64D5"/>
    <w:rsid w:val="001D04BF"/>
    <w:rsid w:val="001E4ACE"/>
    <w:rsid w:val="001F211A"/>
    <w:rsid w:val="001F6AF4"/>
    <w:rsid w:val="00222AAC"/>
    <w:rsid w:val="00225545"/>
    <w:rsid w:val="00255E41"/>
    <w:rsid w:val="00260C71"/>
    <w:rsid w:val="002612AC"/>
    <w:rsid w:val="002705CA"/>
    <w:rsid w:val="00270DAC"/>
    <w:rsid w:val="00273890"/>
    <w:rsid w:val="00273F75"/>
    <w:rsid w:val="0027460D"/>
    <w:rsid w:val="00277DF1"/>
    <w:rsid w:val="0028032F"/>
    <w:rsid w:val="00280BAC"/>
    <w:rsid w:val="00284E70"/>
    <w:rsid w:val="002B3728"/>
    <w:rsid w:val="002C5B35"/>
    <w:rsid w:val="002C6E01"/>
    <w:rsid w:val="002D239D"/>
    <w:rsid w:val="002E2E58"/>
    <w:rsid w:val="002E3C8E"/>
    <w:rsid w:val="002F4BF6"/>
    <w:rsid w:val="0030381B"/>
    <w:rsid w:val="00304CC5"/>
    <w:rsid w:val="003147A4"/>
    <w:rsid w:val="00315BE3"/>
    <w:rsid w:val="00316B49"/>
    <w:rsid w:val="00320B66"/>
    <w:rsid w:val="0033082D"/>
    <w:rsid w:val="003310F7"/>
    <w:rsid w:val="0033172B"/>
    <w:rsid w:val="00332ECF"/>
    <w:rsid w:val="00344195"/>
    <w:rsid w:val="00350B12"/>
    <w:rsid w:val="00352056"/>
    <w:rsid w:val="0035368E"/>
    <w:rsid w:val="003604D4"/>
    <w:rsid w:val="00362FBB"/>
    <w:rsid w:val="003771C4"/>
    <w:rsid w:val="00383CB8"/>
    <w:rsid w:val="00385CAE"/>
    <w:rsid w:val="003878BF"/>
    <w:rsid w:val="003A2CD5"/>
    <w:rsid w:val="003A62E6"/>
    <w:rsid w:val="003B0EE3"/>
    <w:rsid w:val="003B30B0"/>
    <w:rsid w:val="003B6449"/>
    <w:rsid w:val="003B6A0F"/>
    <w:rsid w:val="003B6D88"/>
    <w:rsid w:val="003C1C58"/>
    <w:rsid w:val="003C7AFA"/>
    <w:rsid w:val="003D0546"/>
    <w:rsid w:val="003D4EE8"/>
    <w:rsid w:val="003E08CF"/>
    <w:rsid w:val="003E59C0"/>
    <w:rsid w:val="003E775C"/>
    <w:rsid w:val="003F6053"/>
    <w:rsid w:val="0041447C"/>
    <w:rsid w:val="0041649B"/>
    <w:rsid w:val="004175E9"/>
    <w:rsid w:val="00422F27"/>
    <w:rsid w:val="0043519A"/>
    <w:rsid w:val="00452A88"/>
    <w:rsid w:val="004544A4"/>
    <w:rsid w:val="004632DB"/>
    <w:rsid w:val="00473F47"/>
    <w:rsid w:val="00476F41"/>
    <w:rsid w:val="00493CF5"/>
    <w:rsid w:val="00495022"/>
    <w:rsid w:val="004A0EE5"/>
    <w:rsid w:val="004A17A0"/>
    <w:rsid w:val="004C09B0"/>
    <w:rsid w:val="004C588C"/>
    <w:rsid w:val="004E0E6F"/>
    <w:rsid w:val="004E14B7"/>
    <w:rsid w:val="004E6E5B"/>
    <w:rsid w:val="004F7F2F"/>
    <w:rsid w:val="005045C7"/>
    <w:rsid w:val="005051D2"/>
    <w:rsid w:val="00512657"/>
    <w:rsid w:val="005141A8"/>
    <w:rsid w:val="005240BC"/>
    <w:rsid w:val="005247B1"/>
    <w:rsid w:val="00530C8C"/>
    <w:rsid w:val="00564859"/>
    <w:rsid w:val="005674A2"/>
    <w:rsid w:val="00567F87"/>
    <w:rsid w:val="00570ADB"/>
    <w:rsid w:val="005831FB"/>
    <w:rsid w:val="00587984"/>
    <w:rsid w:val="005A5D86"/>
    <w:rsid w:val="005B449C"/>
    <w:rsid w:val="005C13F5"/>
    <w:rsid w:val="005C21B9"/>
    <w:rsid w:val="005D5ECF"/>
    <w:rsid w:val="005D7EBD"/>
    <w:rsid w:val="005E2E1B"/>
    <w:rsid w:val="005E33E4"/>
    <w:rsid w:val="005F17D6"/>
    <w:rsid w:val="005F252D"/>
    <w:rsid w:val="00602E5A"/>
    <w:rsid w:val="0060485F"/>
    <w:rsid w:val="006133E0"/>
    <w:rsid w:val="0061623F"/>
    <w:rsid w:val="006263E5"/>
    <w:rsid w:val="00633693"/>
    <w:rsid w:val="00643E96"/>
    <w:rsid w:val="00650827"/>
    <w:rsid w:val="00651F58"/>
    <w:rsid w:val="006611C2"/>
    <w:rsid w:val="00681217"/>
    <w:rsid w:val="00686C94"/>
    <w:rsid w:val="00692AF8"/>
    <w:rsid w:val="00696109"/>
    <w:rsid w:val="00697DE4"/>
    <w:rsid w:val="006A147D"/>
    <w:rsid w:val="006A2CC5"/>
    <w:rsid w:val="006A6255"/>
    <w:rsid w:val="006B751E"/>
    <w:rsid w:val="006D14BB"/>
    <w:rsid w:val="006D5AC2"/>
    <w:rsid w:val="006E4EAC"/>
    <w:rsid w:val="006F1EAC"/>
    <w:rsid w:val="006F344E"/>
    <w:rsid w:val="006F52AC"/>
    <w:rsid w:val="00701199"/>
    <w:rsid w:val="00710B04"/>
    <w:rsid w:val="00722581"/>
    <w:rsid w:val="007226DE"/>
    <w:rsid w:val="007302E0"/>
    <w:rsid w:val="00730F13"/>
    <w:rsid w:val="00734449"/>
    <w:rsid w:val="007522F0"/>
    <w:rsid w:val="00762C58"/>
    <w:rsid w:val="00771F81"/>
    <w:rsid w:val="00795C3A"/>
    <w:rsid w:val="007966E0"/>
    <w:rsid w:val="007974D5"/>
    <w:rsid w:val="007C22FE"/>
    <w:rsid w:val="007E01E6"/>
    <w:rsid w:val="007E461E"/>
    <w:rsid w:val="007E7F45"/>
    <w:rsid w:val="007F7BE8"/>
    <w:rsid w:val="00807A7C"/>
    <w:rsid w:val="008272E6"/>
    <w:rsid w:val="00837873"/>
    <w:rsid w:val="00856FA5"/>
    <w:rsid w:val="008623DE"/>
    <w:rsid w:val="00870079"/>
    <w:rsid w:val="00874569"/>
    <w:rsid w:val="00884B7A"/>
    <w:rsid w:val="008855A8"/>
    <w:rsid w:val="008A18B8"/>
    <w:rsid w:val="008A26E5"/>
    <w:rsid w:val="008C2137"/>
    <w:rsid w:val="008C5533"/>
    <w:rsid w:val="008C79F2"/>
    <w:rsid w:val="008D4579"/>
    <w:rsid w:val="008F68A0"/>
    <w:rsid w:val="009105A9"/>
    <w:rsid w:val="0091100A"/>
    <w:rsid w:val="009143F0"/>
    <w:rsid w:val="009146F3"/>
    <w:rsid w:val="00931C66"/>
    <w:rsid w:val="009440DA"/>
    <w:rsid w:val="00945682"/>
    <w:rsid w:val="00951E4E"/>
    <w:rsid w:val="009571DB"/>
    <w:rsid w:val="00962ACB"/>
    <w:rsid w:val="0096505B"/>
    <w:rsid w:val="00967EA4"/>
    <w:rsid w:val="009702E8"/>
    <w:rsid w:val="00971E1B"/>
    <w:rsid w:val="009808EA"/>
    <w:rsid w:val="00984AE8"/>
    <w:rsid w:val="00987CF2"/>
    <w:rsid w:val="009928D3"/>
    <w:rsid w:val="00996E88"/>
    <w:rsid w:val="009A081C"/>
    <w:rsid w:val="009A2E2C"/>
    <w:rsid w:val="009A6AFB"/>
    <w:rsid w:val="009A6ED6"/>
    <w:rsid w:val="009B7370"/>
    <w:rsid w:val="009C2FC9"/>
    <w:rsid w:val="009E14C7"/>
    <w:rsid w:val="009E235F"/>
    <w:rsid w:val="009F60AC"/>
    <w:rsid w:val="009F7574"/>
    <w:rsid w:val="00A00173"/>
    <w:rsid w:val="00A07FCE"/>
    <w:rsid w:val="00A11EA2"/>
    <w:rsid w:val="00A127AE"/>
    <w:rsid w:val="00A13695"/>
    <w:rsid w:val="00A1481A"/>
    <w:rsid w:val="00A17F8C"/>
    <w:rsid w:val="00A22888"/>
    <w:rsid w:val="00A319F8"/>
    <w:rsid w:val="00A37E0C"/>
    <w:rsid w:val="00A44F34"/>
    <w:rsid w:val="00A46C22"/>
    <w:rsid w:val="00A54069"/>
    <w:rsid w:val="00A61705"/>
    <w:rsid w:val="00A61C37"/>
    <w:rsid w:val="00A66E4D"/>
    <w:rsid w:val="00A76877"/>
    <w:rsid w:val="00A77110"/>
    <w:rsid w:val="00A84B98"/>
    <w:rsid w:val="00A87B77"/>
    <w:rsid w:val="00AA175B"/>
    <w:rsid w:val="00AA7C7A"/>
    <w:rsid w:val="00AB35E4"/>
    <w:rsid w:val="00AB7560"/>
    <w:rsid w:val="00AC5B2C"/>
    <w:rsid w:val="00AF1DC5"/>
    <w:rsid w:val="00AF3C7D"/>
    <w:rsid w:val="00AF3ED3"/>
    <w:rsid w:val="00B04A09"/>
    <w:rsid w:val="00B05460"/>
    <w:rsid w:val="00B571F5"/>
    <w:rsid w:val="00B57539"/>
    <w:rsid w:val="00B67CA4"/>
    <w:rsid w:val="00B74953"/>
    <w:rsid w:val="00B83D5C"/>
    <w:rsid w:val="00B86778"/>
    <w:rsid w:val="00B90EC7"/>
    <w:rsid w:val="00B91390"/>
    <w:rsid w:val="00B9678C"/>
    <w:rsid w:val="00B971DF"/>
    <w:rsid w:val="00BA450A"/>
    <w:rsid w:val="00BD5554"/>
    <w:rsid w:val="00BD6E64"/>
    <w:rsid w:val="00BE6348"/>
    <w:rsid w:val="00BF18CC"/>
    <w:rsid w:val="00C068C3"/>
    <w:rsid w:val="00C16E8A"/>
    <w:rsid w:val="00C209B5"/>
    <w:rsid w:val="00C267F5"/>
    <w:rsid w:val="00C308C4"/>
    <w:rsid w:val="00C4479B"/>
    <w:rsid w:val="00C46552"/>
    <w:rsid w:val="00C530AA"/>
    <w:rsid w:val="00C53C9E"/>
    <w:rsid w:val="00C63C45"/>
    <w:rsid w:val="00C672E7"/>
    <w:rsid w:val="00C71573"/>
    <w:rsid w:val="00C7541E"/>
    <w:rsid w:val="00C82E70"/>
    <w:rsid w:val="00C842C7"/>
    <w:rsid w:val="00C8558A"/>
    <w:rsid w:val="00C96774"/>
    <w:rsid w:val="00CA485E"/>
    <w:rsid w:val="00CB4772"/>
    <w:rsid w:val="00CB56DA"/>
    <w:rsid w:val="00CC15E4"/>
    <w:rsid w:val="00CE4047"/>
    <w:rsid w:val="00CE7F9E"/>
    <w:rsid w:val="00CF45B5"/>
    <w:rsid w:val="00D01D94"/>
    <w:rsid w:val="00D07760"/>
    <w:rsid w:val="00D11BE3"/>
    <w:rsid w:val="00D32CE8"/>
    <w:rsid w:val="00D40974"/>
    <w:rsid w:val="00D41E39"/>
    <w:rsid w:val="00D439D4"/>
    <w:rsid w:val="00D45354"/>
    <w:rsid w:val="00D52152"/>
    <w:rsid w:val="00D6153F"/>
    <w:rsid w:val="00D629FC"/>
    <w:rsid w:val="00D62B91"/>
    <w:rsid w:val="00D65724"/>
    <w:rsid w:val="00D775EA"/>
    <w:rsid w:val="00D938D4"/>
    <w:rsid w:val="00D9673D"/>
    <w:rsid w:val="00DA7403"/>
    <w:rsid w:val="00DB0340"/>
    <w:rsid w:val="00DB6D74"/>
    <w:rsid w:val="00DD29EA"/>
    <w:rsid w:val="00DE1142"/>
    <w:rsid w:val="00E03892"/>
    <w:rsid w:val="00E17AF3"/>
    <w:rsid w:val="00E219DF"/>
    <w:rsid w:val="00E567BF"/>
    <w:rsid w:val="00E6129A"/>
    <w:rsid w:val="00E623FE"/>
    <w:rsid w:val="00E76C2B"/>
    <w:rsid w:val="00E94EDA"/>
    <w:rsid w:val="00EA01B1"/>
    <w:rsid w:val="00EA1732"/>
    <w:rsid w:val="00EA44D0"/>
    <w:rsid w:val="00EB052D"/>
    <w:rsid w:val="00EB1737"/>
    <w:rsid w:val="00EB4FA9"/>
    <w:rsid w:val="00EC7085"/>
    <w:rsid w:val="00EC7192"/>
    <w:rsid w:val="00ED024D"/>
    <w:rsid w:val="00EE21E0"/>
    <w:rsid w:val="00F01A95"/>
    <w:rsid w:val="00F02A26"/>
    <w:rsid w:val="00F0404B"/>
    <w:rsid w:val="00F063F0"/>
    <w:rsid w:val="00F17B0A"/>
    <w:rsid w:val="00F2111F"/>
    <w:rsid w:val="00F25755"/>
    <w:rsid w:val="00F260D0"/>
    <w:rsid w:val="00F26108"/>
    <w:rsid w:val="00F37B28"/>
    <w:rsid w:val="00F4279B"/>
    <w:rsid w:val="00F47C71"/>
    <w:rsid w:val="00F5008F"/>
    <w:rsid w:val="00F50CB5"/>
    <w:rsid w:val="00F67C23"/>
    <w:rsid w:val="00F813FA"/>
    <w:rsid w:val="00F93965"/>
    <w:rsid w:val="00F93CEA"/>
    <w:rsid w:val="00F9747B"/>
    <w:rsid w:val="00FB5102"/>
    <w:rsid w:val="00FB6B60"/>
    <w:rsid w:val="00FC1C92"/>
    <w:rsid w:val="00FD00DF"/>
    <w:rsid w:val="00FD3194"/>
    <w:rsid w:val="00FD5E74"/>
    <w:rsid w:val="00FE66E9"/>
    <w:rsid w:val="00FE76E8"/>
    <w:rsid w:val="00FF0982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83A7"/>
  <w15:chartTrackingRefBased/>
  <w15:docId w15:val="{927B2D26-7641-460B-8613-53BFA27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1B"/>
    <w:pPr>
      <w:widowControl w:val="0"/>
      <w:autoSpaceDE w:val="0"/>
      <w:autoSpaceDN w:val="0"/>
      <w:spacing w:after="0" w:line="240" w:lineRule="auto"/>
    </w:pPr>
    <w:rPr>
      <w:rFonts w:ascii="Wigrum" w:eastAsia="Times New Roman" w:hAnsi="Wigrum" w:cs="Times New Roman"/>
      <w:sz w:val="20"/>
    </w:rPr>
  </w:style>
  <w:style w:type="paragraph" w:styleId="Heading1">
    <w:name w:val="heading 1"/>
    <w:aliases w:val="H1 LQMS"/>
    <w:basedOn w:val="Normal"/>
    <w:next w:val="Normal"/>
    <w:link w:val="Heading1Char"/>
    <w:uiPriority w:val="9"/>
    <w:qFormat/>
    <w:rsid w:val="00D01D94"/>
    <w:pPr>
      <w:keepNext/>
      <w:keepLines/>
      <w:spacing w:before="240" w:after="240"/>
      <w:outlineLvl w:val="0"/>
    </w:pPr>
    <w:rPr>
      <w:rFonts w:ascii="Wigrum Medium" w:eastAsiaTheme="majorEastAsia" w:hAnsi="Wigrum Medium" w:cstheme="majorBidi"/>
      <w:sz w:val="32"/>
      <w:szCs w:val="32"/>
    </w:rPr>
  </w:style>
  <w:style w:type="paragraph" w:styleId="Heading2">
    <w:name w:val="heading 2"/>
    <w:aliases w:val="H2 LQMS"/>
    <w:basedOn w:val="Normal"/>
    <w:next w:val="Normal"/>
    <w:link w:val="Heading2Char"/>
    <w:uiPriority w:val="9"/>
    <w:unhideWhenUsed/>
    <w:qFormat/>
    <w:rsid w:val="00316B49"/>
    <w:pPr>
      <w:spacing w:after="240"/>
      <w:outlineLvl w:val="1"/>
    </w:pPr>
    <w:rPr>
      <w:rFonts w:ascii="Wigrum Medium" w:hAnsi="Wigrum Medium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B44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81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0381B"/>
  </w:style>
  <w:style w:type="paragraph" w:styleId="Footer">
    <w:name w:val="footer"/>
    <w:aliases w:val="Footer LQMS"/>
    <w:basedOn w:val="Normal"/>
    <w:link w:val="FooterChar"/>
    <w:uiPriority w:val="99"/>
    <w:unhideWhenUsed/>
    <w:qFormat/>
    <w:rsid w:val="00277DF1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color w:val="262626" w:themeColor="text1" w:themeTint="D9"/>
      <w:sz w:val="16"/>
    </w:rPr>
  </w:style>
  <w:style w:type="character" w:customStyle="1" w:styleId="FooterChar">
    <w:name w:val="Footer Char"/>
    <w:aliases w:val="Footer LQMS Char"/>
    <w:basedOn w:val="DefaultParagraphFont"/>
    <w:link w:val="Footer"/>
    <w:uiPriority w:val="99"/>
    <w:rsid w:val="00277DF1"/>
    <w:rPr>
      <w:rFonts w:ascii="Wigrum" w:hAnsi="Wigrum"/>
      <w:color w:val="262626" w:themeColor="text1" w:themeTint="D9"/>
      <w:sz w:val="16"/>
    </w:rPr>
  </w:style>
  <w:style w:type="character" w:customStyle="1" w:styleId="Heading1Char">
    <w:name w:val="Heading 1 Char"/>
    <w:aliases w:val="H1 LQMS Char"/>
    <w:basedOn w:val="DefaultParagraphFont"/>
    <w:link w:val="Heading1"/>
    <w:uiPriority w:val="9"/>
    <w:rsid w:val="00D01D94"/>
    <w:rPr>
      <w:rFonts w:ascii="Wigrum Medium" w:eastAsiaTheme="majorEastAsia" w:hAnsi="Wigrum Medium" w:cstheme="majorBidi"/>
      <w:sz w:val="32"/>
      <w:szCs w:val="32"/>
    </w:rPr>
  </w:style>
  <w:style w:type="character" w:customStyle="1" w:styleId="Heading2Char">
    <w:name w:val="Heading 2 Char"/>
    <w:aliases w:val="H2 LQMS Char"/>
    <w:basedOn w:val="DefaultParagraphFont"/>
    <w:link w:val="Heading2"/>
    <w:uiPriority w:val="9"/>
    <w:rsid w:val="00316B49"/>
    <w:rPr>
      <w:rFonts w:ascii="Wigrum Medium" w:eastAsia="Times New Roman" w:hAnsi="Wigrum Medium" w:cs="Times New Roman"/>
      <w:szCs w:val="24"/>
    </w:rPr>
  </w:style>
  <w:style w:type="paragraph" w:customStyle="1" w:styleId="BodyLQMS">
    <w:name w:val="Body LQMS"/>
    <w:basedOn w:val="Normal"/>
    <w:link w:val="BodyLQMSChar"/>
    <w:qFormat/>
    <w:rsid w:val="0043519A"/>
    <w:pPr>
      <w:spacing w:before="120" w:after="120" w:line="276" w:lineRule="auto"/>
    </w:pPr>
    <w:rPr>
      <w:rFonts w:ascii="Open Sans" w:hAnsi="Open Sans"/>
      <w:color w:val="262626" w:themeColor="text1" w:themeTint="D9"/>
    </w:rPr>
  </w:style>
  <w:style w:type="paragraph" w:customStyle="1" w:styleId="Body">
    <w:name w:val="Body"/>
    <w:basedOn w:val="Normal"/>
    <w:uiPriority w:val="99"/>
    <w:rsid w:val="004632DB"/>
    <w:pPr>
      <w:widowControl/>
      <w:suppressAutoHyphens/>
      <w:adjustRightInd w:val="0"/>
      <w:spacing w:after="227" w:line="240" w:lineRule="atLeast"/>
      <w:textAlignment w:val="center"/>
    </w:pPr>
    <w:rPr>
      <w:rFonts w:eastAsiaTheme="minorHAnsi" w:cs="Wigrum"/>
      <w:color w:val="000000"/>
      <w:sz w:val="16"/>
      <w:szCs w:val="16"/>
      <w:lang w:val="en-US"/>
    </w:rPr>
  </w:style>
  <w:style w:type="character" w:customStyle="1" w:styleId="BodyLQMSChar">
    <w:name w:val="Body LQMS Char"/>
    <w:basedOn w:val="DefaultParagraphFont"/>
    <w:link w:val="BodyLQMS"/>
    <w:rsid w:val="0043519A"/>
    <w:rPr>
      <w:rFonts w:ascii="Open Sans" w:eastAsia="Times New Roman" w:hAnsi="Open Sans" w:cs="Times New Roman"/>
      <w:color w:val="262626" w:themeColor="text1" w:themeTint="D9"/>
      <w:sz w:val="20"/>
    </w:rPr>
  </w:style>
  <w:style w:type="paragraph" w:customStyle="1" w:styleId="SectionHeading">
    <w:name w:val="Section Heading"/>
    <w:basedOn w:val="Normal"/>
    <w:uiPriority w:val="99"/>
    <w:rsid w:val="004632DB"/>
    <w:pPr>
      <w:widowControl/>
      <w:suppressAutoHyphens/>
      <w:adjustRightInd w:val="0"/>
      <w:spacing w:after="113" w:line="288" w:lineRule="auto"/>
      <w:textAlignment w:val="center"/>
    </w:pPr>
    <w:rPr>
      <w:rFonts w:eastAsiaTheme="minorHAnsi" w:cs="Wigrum"/>
      <w:b/>
      <w:bCs/>
      <w:color w:val="25264E"/>
      <w:sz w:val="36"/>
      <w:szCs w:val="36"/>
      <w:lang w:val="en-US"/>
    </w:rPr>
  </w:style>
  <w:style w:type="character" w:customStyle="1" w:styleId="BulletStyle">
    <w:name w:val="Bullet Style"/>
    <w:uiPriority w:val="99"/>
    <w:rsid w:val="004632DB"/>
    <w:rPr>
      <w:color w:val="EEC534"/>
      <w:position w:val="-4"/>
      <w:sz w:val="30"/>
      <w:szCs w:val="30"/>
    </w:rPr>
  </w:style>
  <w:style w:type="table" w:styleId="ListTable2-Accent3">
    <w:name w:val="List Table 2 Accent 3"/>
    <w:basedOn w:val="TableNormal"/>
    <w:uiPriority w:val="47"/>
    <w:rsid w:val="00383C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bodyLQMS">
    <w:name w:val="Table body LQMS"/>
    <w:basedOn w:val="BodyLQMS"/>
    <w:qFormat/>
    <w:rsid w:val="00CB4772"/>
    <w:rPr>
      <w:bCs/>
      <w:sz w:val="18"/>
      <w:szCs w:val="16"/>
    </w:rPr>
  </w:style>
  <w:style w:type="paragraph" w:customStyle="1" w:styleId="BulletLQMS">
    <w:name w:val="Bullet LQMS"/>
    <w:basedOn w:val="BodyLQMS"/>
    <w:link w:val="BulletLQMSChar"/>
    <w:qFormat/>
    <w:rsid w:val="00074A4C"/>
    <w:pPr>
      <w:numPr>
        <w:numId w:val="1"/>
      </w:numPr>
    </w:pPr>
  </w:style>
  <w:style w:type="paragraph" w:customStyle="1" w:styleId="NumberLQMS">
    <w:name w:val="Number LQMS"/>
    <w:basedOn w:val="BodyLQMS"/>
    <w:link w:val="NumberLQMSChar"/>
    <w:qFormat/>
    <w:rsid w:val="00D6153F"/>
    <w:pPr>
      <w:numPr>
        <w:numId w:val="2"/>
      </w:numPr>
    </w:pPr>
  </w:style>
  <w:style w:type="character" w:customStyle="1" w:styleId="BulletLQMSChar">
    <w:name w:val="Bullet LQMS Char"/>
    <w:basedOn w:val="BodyLQMSChar"/>
    <w:link w:val="BulletLQMS"/>
    <w:rsid w:val="00074A4C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TOCHeading">
    <w:name w:val="TOC Heading"/>
    <w:aliases w:val="TOC LQMS"/>
    <w:basedOn w:val="Heading1"/>
    <w:next w:val="Normal"/>
    <w:uiPriority w:val="39"/>
    <w:unhideWhenUsed/>
    <w:qFormat/>
    <w:rsid w:val="00B04A09"/>
    <w:pPr>
      <w:widowControl/>
      <w:autoSpaceDE/>
      <w:autoSpaceDN/>
      <w:spacing w:after="0" w:line="259" w:lineRule="auto"/>
      <w:outlineLvl w:val="9"/>
    </w:pPr>
    <w:rPr>
      <w:lang w:val="en-US"/>
    </w:rPr>
  </w:style>
  <w:style w:type="character" w:customStyle="1" w:styleId="NumberLQMSChar">
    <w:name w:val="Number LQMS Char"/>
    <w:basedOn w:val="BodyLQMSChar"/>
    <w:link w:val="NumberLQMS"/>
    <w:rsid w:val="005141A8"/>
    <w:rPr>
      <w:rFonts w:ascii="Open Sans" w:eastAsia="Times New Roman" w:hAnsi="Open Sans" w:cs="Times New Roman"/>
      <w:color w:val="262626" w:themeColor="text1" w:themeTint="D9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B04A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4A0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04A09"/>
    <w:rPr>
      <w:color w:val="0563C1" w:themeColor="hyperlink"/>
      <w:u w:val="single"/>
    </w:rPr>
  </w:style>
  <w:style w:type="paragraph" w:customStyle="1" w:styleId="TitleLQMS">
    <w:name w:val="Title LQMS"/>
    <w:basedOn w:val="Normal"/>
    <w:link w:val="TitleLQMSChar"/>
    <w:qFormat/>
    <w:rsid w:val="00473F47"/>
    <w:rPr>
      <w:rFonts w:ascii="Wigrum Medium" w:hAnsi="Wigrum Medium"/>
      <w:b/>
      <w:bCs/>
      <w:sz w:val="96"/>
      <w:szCs w:val="96"/>
    </w:rPr>
  </w:style>
  <w:style w:type="paragraph" w:customStyle="1" w:styleId="SubtitleLQMS">
    <w:name w:val="Subtitle LQMS"/>
    <w:basedOn w:val="Normal"/>
    <w:link w:val="SubtitleLQMSChar"/>
    <w:qFormat/>
    <w:rsid w:val="00473F47"/>
    <w:rPr>
      <w:color w:val="FFC000"/>
      <w:sz w:val="62"/>
      <w:szCs w:val="62"/>
    </w:rPr>
  </w:style>
  <w:style w:type="character" w:customStyle="1" w:styleId="TitleLQMSChar">
    <w:name w:val="Title LQMS Char"/>
    <w:basedOn w:val="DefaultParagraphFont"/>
    <w:link w:val="TitleLQMS"/>
    <w:rsid w:val="00473F47"/>
    <w:rPr>
      <w:rFonts w:ascii="Wigrum Medium" w:eastAsia="Times New Roman" w:hAnsi="Wigrum Medium" w:cs="Times New Roman"/>
      <w:b/>
      <w:bCs/>
      <w:sz w:val="96"/>
      <w:szCs w:val="96"/>
    </w:rPr>
  </w:style>
  <w:style w:type="paragraph" w:customStyle="1" w:styleId="DescriptionLQMS">
    <w:name w:val="Description LQMS"/>
    <w:basedOn w:val="BodyLQMS"/>
    <w:link w:val="DescriptionLQMSChar"/>
    <w:qFormat/>
    <w:rsid w:val="0015741C"/>
    <w:rPr>
      <w:noProof/>
      <w:color w:val="595959" w:themeColor="text1" w:themeTint="A6"/>
      <w:lang w:eastAsia="en-AU"/>
    </w:rPr>
  </w:style>
  <w:style w:type="character" w:customStyle="1" w:styleId="SubtitleLQMSChar">
    <w:name w:val="Subtitle LQMS Char"/>
    <w:basedOn w:val="DefaultParagraphFont"/>
    <w:link w:val="SubtitleLQMS"/>
    <w:rsid w:val="00473F47"/>
    <w:rPr>
      <w:rFonts w:ascii="Wigrum" w:eastAsia="Times New Roman" w:hAnsi="Wigrum" w:cs="Times New Roman"/>
      <w:color w:val="FFC000"/>
      <w:sz w:val="62"/>
      <w:szCs w:val="62"/>
    </w:rPr>
  </w:style>
  <w:style w:type="character" w:customStyle="1" w:styleId="DescriptionLQMSChar">
    <w:name w:val="Description LQMS Char"/>
    <w:basedOn w:val="BodyLQMSChar"/>
    <w:link w:val="DescriptionLQMS"/>
    <w:rsid w:val="0015741C"/>
    <w:rPr>
      <w:rFonts w:ascii="Wigrum" w:eastAsia="Times New Roman" w:hAnsi="Wigrum" w:cs="Times New Roman"/>
      <w:noProof/>
      <w:color w:val="595959" w:themeColor="text1" w:themeTint="A6"/>
      <w:sz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F4BF6"/>
    <w:rPr>
      <w:color w:val="808080"/>
    </w:rPr>
  </w:style>
  <w:style w:type="paragraph" w:customStyle="1" w:styleId="TableLQMS">
    <w:name w:val="Table LQMS"/>
    <w:basedOn w:val="BodyLQMS"/>
    <w:link w:val="TableLQMSChar"/>
    <w:rsid w:val="00CB4772"/>
    <w:rPr>
      <w:sz w:val="18"/>
      <w:szCs w:val="18"/>
    </w:rPr>
  </w:style>
  <w:style w:type="character" w:customStyle="1" w:styleId="TableLQMSChar">
    <w:name w:val="Table LQMS Char"/>
    <w:basedOn w:val="BodyLQMSChar"/>
    <w:link w:val="TableLQMS"/>
    <w:rsid w:val="00CB4772"/>
    <w:rPr>
      <w:rFonts w:ascii="Wigrum" w:eastAsia="Times New Roman" w:hAnsi="Wigrum" w:cs="Times New Roman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59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Points">
    <w:name w:val="Bullet Points"/>
    <w:basedOn w:val="Body"/>
    <w:qFormat/>
    <w:rsid w:val="0043519A"/>
    <w:pPr>
      <w:numPr>
        <w:numId w:val="38"/>
      </w:numPr>
      <w:tabs>
        <w:tab w:val="left" w:pos="1418"/>
      </w:tabs>
      <w:suppressAutoHyphens w:val="0"/>
      <w:autoSpaceDE/>
      <w:autoSpaceDN/>
      <w:adjustRightInd/>
      <w:spacing w:after="80" w:line="260" w:lineRule="exact"/>
      <w:ind w:left="357" w:hanging="357"/>
      <w:textAlignment w:val="auto"/>
    </w:pPr>
    <w:rPr>
      <w:rFonts w:ascii="Open Sans" w:hAnsi="Open Sans" w:cstheme="minorBidi"/>
      <w:color w:val="262626" w:themeColor="text1" w:themeTint="D9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50B12"/>
    <w:pPr>
      <w:spacing w:after="0" w:line="240" w:lineRule="auto"/>
    </w:pPr>
    <w:rPr>
      <w:rFonts w:ascii="Wigrum" w:eastAsia="Times New Roman" w:hAnsi="Wigrum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lisa.kurtz@logiqc.com.au" TargetMode="External"/><Relationship Id="rId26" Type="http://schemas.openxmlformats.org/officeDocument/2006/relationships/image" Target="media/image1.jpeg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aining@logiqc.com.au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manual describes how to use the LogiqcQMS for the purposes of assessing an organisation’s compliance with standards.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6DB398-04EF-404C-A057-03750EB0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subject>External Auditor’s Manual for the LogiqcQMS v7 Platform</dc:subject>
  <dc:creator>Bret Mannison</dc:creator>
  <cp:keywords/>
  <dc:description/>
  <cp:lastModifiedBy>Bret Mannison</cp:lastModifiedBy>
  <cp:revision>4</cp:revision>
  <cp:lastPrinted>2020-03-03T19:54:00Z</cp:lastPrinted>
  <dcterms:created xsi:type="dcterms:W3CDTF">2023-04-07T05:47:00Z</dcterms:created>
  <dcterms:modified xsi:type="dcterms:W3CDTF">2023-04-10T20:42:00Z</dcterms:modified>
</cp:coreProperties>
</file>